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4A_60/2021 vom 2. Juni 2021</w:t>
      </w:r>
    </w:p>
    <w:p>
      <w:r>
        <w:t>Bundesgericht, 2021-06-02, DE</w:t>
      </w:r>
    </w:p>
    <w:p>
      <w:r>
        <w:rPr>
          <w:b/>
        </w:rPr>
        <w:t xml:space="preserve">Quelle: </w:t>
      </w:r>
      <w:r>
        <w:t>https://mcp.opencaselaw.ch/entscheid/bger_4A_60_2021</w:t>
      </w:r>
    </w:p>
    <w:p>
      <w:r>
        <w:t>FR: TF 4A_60/2021 du 2 juin 2021</w:t>
      </w:r>
    </w:p>
    <w:p>
      <w:r>
        <w:t>IT: TF 4A_60/2021 del 2 giugno 2021</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Der angefochtene Entscheid ist ein Teilurteil, mit dem das Auskunftsbegehren der Beschwerdegegnerin geschützt wurde. Über das im Rahmen einer Stufenklage gestellte Leistungsbegehren wurde nicht entschieden. Damit wurde über einen Teil der objektiv gehäuften, unabhängigen Begehren endgültig im Sinne von Art. 91 Abs. 1 lit. a BGG entschieden (betr. den Hilfsanspruch auf Auskunftserteilung bzw. Rechnungslegung vgl. Urteil 4A_269/2017 vom 20. Dezember 2017 E. 1.2 mit Hinweisen, nicht publ. in: BGE 144 III 43 ). Die Vorinstanz hat als einzige kantonale Instanz entschieden ( Art. 5 Abs. 1 lit. a ZPO i.V.m. Art. 75 Abs. 2 lit. a BGG ), weshalb die Beschwerde in Zivilsachen unabhängig von der Erreichung der Streitwertgrenze von Art. 74 Abs. 1 BGG zulässig ist ( Art. 74 Abs. 2 lit. b BGG ). Die Beschwerdefrist ( Art. 100 BGG ) wurde eingehalten.</w:t>
      </w:r>
    </w:p>
    <w:p>
      <w:r>
        <w:t>Sowohl der Antrag der Beschwerdeführerin, es sei ihre Widerklage gutzuheissen, als auch derjenige der Beschwerdegegnerin, es sei ihre Klage insgesamt gutzuheissen und die Widerklage abzuweisen, geht in unzulässiger Weise über den Gegenstand des Beschwerdeverfahrens hinaus. Angefochten ist einzig der Teilentscheid vom 22. September 2020, mit dem das Hilfsbegehren auf Auskunftserteilung im Rahmen der Stufenklage gutgeheissen wurde; über den Hauptanspruch der Beschwerdegegnerin und die Widerklage der Beschwerdeführerin hat die Vorinstanz noch nicht entschieden. Soweit die Parteien über den Gegenstand des Hilfsbegehrens hinausgehende materielle Begehren stellen, sind ihre Anträge unzulässig.</w:t>
      </w:r>
    </w:p>
    <w:p>
      <w:r>
        <w:t>Ansonsten ist auf die Beschwerde vorbehältlich einer hinreichenden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Beschwerdeschrift genügt diesen Anforderungen in verschiedener Hinsicht nicht. Die Beschwerdeführerin setzt sich über weite Strecken nicht hinreichend mit den konkreten Erwägungen des angefochtenen Entscheids auseinander und zeigt auf, inwiefern die Vorinstanz mit ihrer Beurteilung bundesrechtliche Bestimmungen verletzt hätte. Stattdessen unterbreitet sie dem Bundesgericht in frei gehaltenen Ausführungen unter Berufung auf zahlreiche Aktenstücke des kantonalen Verfahrens bloss ihre Sicht der Dinge und stellt sich auf den Standpunkt, der unterzeichnete Lizenzvertrag sei nicht gültig zustande gekommen. Dabei erhebt sie kaum eine hinreichend begründete Sachverhaltsrüge, sondern belässt es bei der pauschalen Behauptung, die Vorinstanz habe den Sachverhalt offensichtlich unrichtig bzw. willkürlich festgestellt.</w:t>
      </w:r>
    </w:p>
    <w:p>
      <w:r>
        <w:t>Soweit die Beschwerdeführerin ihre Vorbringen auf einen Sachverhalt stützt, der von den für das Bundesgericht verbindlichen Feststellungen abweicht, ist sie nicht zu hören. Da sie in unzulässiger Weise tatsächliche und rechtliche Vorbringen vermengt, ist auf ihre Vorbringen nur insoweit einzugehen, als daraus wenigstens sinngemäss erkennbar ist, welche Bundesrechtssätze und inwiefern sie durch den angefochtenen Entscheid verletzt sein sollen, wenn die verbindlichen Feststellungen im vorinstanzlichen Entscheid zugrunde gelegt werden ( Art. 105 Abs. 1 BGG ).</w:t>
      </w:r>
    </w:p>
    <w:p>
      <w:r>
        <w:rPr>
          <w:b/>
        </w:rPr>
        <w:t>E. 2.1</w:t>
      </w:r>
    </w:p>
    <w:p>
      <w:r>
        <w:t>Die Vorinstanz erwog, die Parteien hätten sich mit dem Lizenzvertrag vom 16. März 2017 über die lizenzierten Schutzrechte sowie das Entgelt für deren Nutzung und somit über die wesentlichen Punkte des Lizenzvertrags geeinigt. Entgegen der Ansicht der Beschwerdeführerin sei der streitgegenständliche Vertrag nicht mangels Bestimmtheit der gegenseitigen Leistungen unwirksam. Aus dem Vertragsdokument sei ohne Weiteres ersichtlich, dass die Beschwerdegegnerin der Beschwerdeführerin eine Gebietslizenz für Frankreich und seine Überseegebiete zum Zweck der Herstellung, des Vertriebs und des Verkaufs von Produkten unter den Marken "W.________", "X.________" und "Y.________" (mit Ausnahme der Produkte der Linie "Z.________") erteilt habe. Auch die Leistungspflichten der Beschwerdeführerin seien in der Vertragsurkunde klar geregelt. Dem Vertragstext in Artikel 6 sei zu entnehmen, dass die Beschwerdeführerin verpflichtet sei, als Gegenleistung für die Nutzung der Markenrechte und des geistigen Eigentums der Beschwerdegegnerin bei der Herstellung und Vermarktung der Produkte ein Entgelt von 15 % auf dem Verkaufserlös (ohne Steuern) dieser Produkte zu entrichten. Damit enthalte der Lizenzvertrag alle vertragstypischen Leistungspflichten. Eine weitergehende Regelung habe mit Blick auf das Bestimmtheitserfordernis nicht in die Vertragsurkunde aufgenommen werden müssen; eine Aufzählung der einzelnen Lizenzprodukte im Vertragsdokument sei nicht erforderlich gewesen.</w:t>
      </w:r>
    </w:p>
    <w:p>
      <w:r>
        <w:t>Die Vorinstanz liess auch den Einwand nicht gelten, die Umsetzung des Lizenzvertrags sei unter der aufschiebenden Bedingung gestanden, dass C.________ die Anteile der E.________ Sàrl erwerbe. Da sich die Beschwerdeführerin auf den Standpunkt stelle, ohne den Erwerb der E.________ Sàrl sei der Lizenzvertrag hinfällig, mache sie sinngemäss geltend, diese Bedingung habe für sie einen subjektiv wesentlichen Vertragspunkt dargestellt. Dem Wortlaut des Lizenzvertrags lasse sich nirgends entnehmen, dass dessen Wirksamkeit an die Bedingung der Übernahme aller Anteile der E.________ Sàrl durch C.________ geknüpft sei.</w:t>
      </w:r>
    </w:p>
    <w:p>
      <w:r>
        <w:t>In der E-Mail vom 10. Januar 2017 an C.________ habe A.D.________ zwar ausgeführt, dass der Lizenzvertrag zwingend mit dem Projekt von C.________ (Erwerb der Anteile an der E.________ Sàrl) verbunden sei, ansonsten der Lizenzvertrag hinfällig werde. Nachdem aber diese Bedingung weder in dem zur Diskussion stehenden, erst über zwei Monate später geschlossenen Lizenzvertrag noch in einer Zusatzvereinbarung zum Lizenzvertrag Eingang gefunden habe, habe C.________ nach Treu und Glauben davon ausgehen dürfen, dass die Beschwerdeführerin letztlich nicht auf dieser Bedingung beharrt habe. Selbst eine eventuelle Annahme der in der E-Mail erwähnten Bedingung durch C.________ hätte keine vertraglichen Wirkungen zulasten der Beschwerdegegnerin entfalten können, da dieser als Verwaltungsratsdelegierter lediglich über eine Kollektivunterschrift zu zweien verfügt habe. Aufgrund von Art. 933 Abs. 1 OR werde von Gesetzes wegen davon ausgegangen, dass A.D.________ um die Kollektivzeichnungsberechtigung von C.________ wusste. Die Zustimmung eines Zweitunterschriftsberechtigten der Beschwerdegegnerin zum Abschluss der behaupteten Bedingung als Bestandteil des Lizenzvertrags sei nicht nachgewiesen.</w:t>
      </w:r>
    </w:p>
    <w:p>
      <w:r>
        <w:rPr>
          <w:b/>
        </w:rPr>
        <w:t>E. 2.2</w:t>
      </w:r>
    </w:p>
    <w:p>
      <w:r>
        <w:t>Selbst wenn diese Ausführungen nicht zutreffen sollten, so die Vorinstanz weiter, würde sich am Ergebnis nichts ändern. Der bedingungsfreie Abschluss des Lizenzvertrags sei auf Seiten der Beschwerdeführerin nämlich konkludent dadurch genehmigt worden, dass sie die Lizenzrechte der Beschwerdegegnerin genutzt und ihr deswegen für den Dezember 2016 und das Jahr 2017 die Umsätze der Lizenzprodukte innert der vertraglichen Frist gemeldet habe. Damit sei der Beschwerdeführerin fraglos auch bekannt gewesen, welche Umsätze für die Bestimmung der Lizenzgebühr massgebend gewesen seien. Die Behauptung, es sei gar nicht möglich gewesen, die lizenzabgabepflichtigen Umsätze zu bestimmen, sei damit widerlegt. Zudem habe die Beschwerdegegnerin mit Schreiben vom 7. Juni 2018 gegenüber der Beschwerdeführerin die Verrechnung der Lizenzabgabe auf den entsprechenden Umsätzen mit Gegenforderungen der Beschwerdeführerin erklärt. Diesem Vorgehen habe die Beschwerdeführerin nicht bzw. erst mit Klageantwort vom 14. Oktober 2019 und damit über ein Jahr später widersprochen. Unter den dargestellten Umständen habe die Beschwerdegegnerin das Verhalten der Beschwerdeführerin nur als Zustimmung zu den in der schriftlichen Vertragsurkunde niedergelegten wesentlichen Vertragspunkten verstehen können. Damit habe sich die Beschwerdeführerin offenkundig einverstanden erklärt, dass der Lizenzvertrag bedingungslos gelten solle.</w:t>
      </w:r>
    </w:p>
    <w:p>
      <w:r>
        <w:t>Aufgrund von Artikel 6 des Lizenzvertrags sei die Beschwerdeführerin verpflichtet, spätestens zehn Tage nach Abschluss jeden Monats der Beschwerdegegnerin den detaillierten Umsatz mit den Lizenzprodukten zu melden. Zwecks Kontrolle der Abgaben stehe der Beschwerdegegnerin überdies das Recht zu, alle Belege einzuverlangen und auf ihre Kosten alle nach ihrer Einschätzung erforderlichen Prüfungen durch einen Wirtschaftsprüfer ihrer Wahl vornehmen zu lassen. Demzufolge sei die Beschwerdeführerin zu verpflichten, der Beschwerdegegnerin sämtliche Umsatzzahlen für die Lizenzprodukte und die zugrundeliegenden Dokumente und Belege im Zusammenhang mit dem abgeschlossenen Lizenzvertrag offenzulegen.</w:t>
      </w:r>
    </w:p>
    <w:p>
      <w:r>
        <w:rPr>
          <w:b/>
        </w:rPr>
        <w:t>E. 3.1</w:t>
      </w:r>
    </w:p>
    <w:p>
      <w:r>
        <w:t>Die Beschwerdeführerin stellt die vorinstanzliche Feststellung in Frage, wonach sie der Beschwerdegegnerin für den Dezember 2016 und das Jahr 2017 die Umsätze der Lizenzprodukte tatsächlich innert der vertraglichen Frist gemeldet habe. Sie erhebt jedoch keine hinreichend begründete Sachverhaltsrüge, sondern unterbreitet dem Bundesgericht unter Hinweis auf verschiedenste Aktenstücke des kantonalen Verfahrens ihre Sicht der Dinge zu Hintergrund, Herkunft und Inhalt des gelieferten Zahlenmaterials. Zudem behauptet sie in appellatorischer Weise, sie habe sich entgegen dem angefochtenen Entscheid wiederholt gegen die Verrechnungspraktiken der Beschwerdegegnerin ausgesprochen. Damit ist sie nicht zu hören, womit es bei den Sachverhaltsfeststellungen im angefochtenen Entscheid bleibt.</w:t>
      </w:r>
    </w:p>
    <w:p>
      <w:r>
        <w:t>Gegenüber der darauf gestützten Eventualbegründung der Vorinstanz, selbst bei Annahme einer ursprünglich vereinbarten Bedingung sei aufgrund des tatsächlich erfolgten Vollzugs des Lizenzvertrags von einer nachträglichen konkludenten Vereinbarung der bedingungslosen Geltung dieses Vertrags und einem gemeinsamen Verständnis hinsichtlich der erfassten Umsätze für die Bestimmung der Lizenzgebühr auszugehen, erhebt die Beschwerdeführerin keine zulässigen Rügen. Hält die selbständige Eventualbegründung vor Bundesrecht stand, ist die Beschwerde bereits aus diesem Grund abzuweisen.</w:t>
      </w:r>
    </w:p>
    <w:p>
      <w:r>
        <w:rPr>
          <w:b/>
        </w:rPr>
        <w:t>E. 3.2</w:t>
      </w:r>
    </w:p>
    <w:p>
      <w:r>
        <w:t>Abgesehen davon vermöchte die Beschwerdeführerin auch gegenüber der selbständigen Begründung im angefochtenen Entscheid nicht durchzudringen, die Verbindlichkeit des Lizenzvertrags vom 16. März 2017 sei nicht vom Eintritt einer Bedingung ( Art. 151 Abs. 1 OR ) abhängig:</w:t>
      </w:r>
    </w:p>
    <w:p>
      <w:r>
        <w:t>Sie bringt zu Unrecht vor, die Vorinstanz habe mit ihrer Erwägung, wonach die behauptete aufschiebende Bedingung des Lizenzvertrags von C.________ mangels Einzelzeichnungsberechtigung nicht rechtswirksam für die Beschwerdegegnerin habe vereinbart werden können, die Dispositionsmaxime (gemeint: Verhandlungsgrundsatz nach Art. 55 Abs. 1 ZPO ) verletzt. Sie verkennt mit ihrem Einwand, die Beschwerdegegnerin habe im vorinstanzlichen Verfahren zur Zeichnungsberechtigung C.________s keine Behauptungen aufgestellt, dass es sich bei rechtskonform publizierten Handelsregisterauszügen prozessual um offenkundige bzw. notorische Tatsachen handelt, die als solche nach Art. 151 ZPO im kantonalen Verfahren weder behauptet noch bewiesen werden müssen (Urteile 4A_560/2012 vom 1. März 2013 E. 2.2; 4A_412/2011 vom 4. Mai 2012 E. 2.2, nicht publ. in BGE 138 III 294 ). Der Vorinstanz ist demnach keine Verletzung des Verhandlungsgrundsatzes ( Art. 55 Abs. 1 ZPO ) vorzuwerfen, wenn sie in ihrem Entscheid die im Handelsregisterauszug der Beschwerdegegnerin ausgewiesene Kollektivunterschrift zu zweien von C.________ berücksichtigte.</w:t>
      </w:r>
    </w:p>
    <w:p>
      <w:r>
        <w:t>Zudem verkennt die Beschwerdeführerin, dass die Einwendung, jemand habe eine Dritten gegenüber wirksam gewordene Eintragung im Handelsregister nicht gekannt, nach dem vorliegend anwendbaren schweizerischen Recht (Art. 154 i.V.m. Art. 155 lit. i IPRG ) ausgeschlossen ist ( Art. 933 Abs. 1 OR ). Dass im zu beurteilenden Fall die Voraussetzungen von Art. 158 IPRG erfüllt gewesen wären und sich die Beschwerdegegnerin daher nicht auf die Beschränkung der Vertretungsbefugnis hätte berufen können, vermag die Beschwerdeführerin mit dem nicht weiter belegten Vorbringen, das Erfordernis einer Zweitunterschrift sei "nach französischem Rechtsverständnis unvorstellbar", nicht aufzuzeigen. Sie erhebt in diesem Zusammenhang keine nach Art. 95 f. BGG zulässigen Rügen (vgl. zur Prüfungsbefugnis hinsichtlich ausländischen Rechts BGE 133 III 446 E. 3.1).</w:t>
      </w:r>
    </w:p>
    <w:p>
      <w:r>
        <w:t>Soweit sich die Beschwerdeführerin vor Bundesgericht darauf beruft, C.________ sei eine bürgerliche (Einzel-) Vertretungsbefugnis eingeräumt worden, sind ihre Ausführungen rein appellatorisch und damit unbeachtlich. Auch ihrer weiteren Beschwerdebegründung lassen sich hinsichtlich der angeblichen Vereinbarung einer aufschiebenden Bedingung keine rechtsgenügend begründeten Rügen entnehmen.</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