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609/2024 vom 3. Dezember 2024</w:t>
      </w:r>
    </w:p>
    <w:p>
      <w:r>
        <w:t>Bundesgericht, 2024-12-03, FR</w:t>
      </w:r>
    </w:p>
    <w:p>
      <w:r>
        <w:rPr>
          <w:b/>
        </w:rPr>
        <w:t xml:space="preserve">Quelle: </w:t>
      </w:r>
      <w:r>
        <w:t>https://mcp.opencaselaw.ch/entscheid/bger_4A_609_2024</w:t>
      </w:r>
    </w:p>
    <w:p>
      <w:r>
        <w:t>FR: TF 4A 609/2024 du 3 décembre 2024</w:t>
      </w:r>
    </w:p>
    <w:p>
      <w:r>
        <w:t>IT: TF 4A 609/2024 del 3 dicembre 2024</w:t>
      </w:r>
    </w:p>
    <w:p>
      <w:pPr>
        <w:pStyle w:val="Heading2"/>
      </w:pPr>
      <w:r>
        <w:t>Regeste</w:t>
      </w:r>
    </w:p>
    <w:p>
      <w:r>
        <w:t>décision incidente, | Droit des contrats</w:t>
      </w:r>
    </w:p>
    <w:p>
      <w:pPr>
        <w:pStyle w:val="Heading2"/>
      </w:pPr>
      <w:r>
        <w:t>Erwägungen</w:t>
      </w:r>
    </w:p>
    <w:p>
      <w:r>
        <w:rPr>
          <w:b/>
        </w:rPr>
        <w:t>E. 1</w:t>
      </w:r>
    </w:p>
    <w:p>
      <w:r>
        <w:t>Par jugement du 5 février 2024, le Tribunal de première instance genevois a rejeté la demande déposée le 18 juillet 2022 par B.________ à l'encontre de A.________ SA. En bref, il a estimé que le demandeur ne disposait pas de la légitimation active lorsqu'il avait introduit son action.</w:t>
      </w:r>
    </w:p>
    <w:p>
      <w:r>
        <w:rPr>
          <w:b/>
        </w:rPr>
        <w:t>E. 2</w:t>
      </w:r>
    </w:p>
    <w:p>
      <w:r>
        <w:t>Statuant par arrêt du 17 octobre 2024 sur appel du demandeur, la Chambre civile de la Cour de justice du canton de Genève a annulé ledit jugement et renvoyé l'affaire à l'autorité de première instance pour qu'elle poursuive l'instruction et rende une nouvelle décision. En substance, la cour cantonale a considéré que l'appelant possédait bel et bien la légitimation active.</w:t>
      </w:r>
    </w:p>
    <w:p>
      <w:r>
        <w:rPr>
          <w:b/>
        </w:rPr>
        <w:t>E. 3</w:t>
      </w:r>
    </w:p>
    <w:p>
      <w:r>
        <w:t>Le 20 novembre 2024, A.________ SA (ci-après: la recourante) a formé un recours en matière civile au Tribunal fédéral à l'encontre de cet arrêt. Elle a conclu à la réforme de la décision entreprise, en ce sens que la demande formée le 18 juillet 2022 est rejetée. B.________ (ci-après: l'intimé) et la cour cantonale n'ont pas été invités à répondre au recours. Par pli spontané du 2 décembre 2024, l'intimé a demandé au Tribunal fédéral de lui impartir un délai pour répondre au recours.</w:t>
      </w:r>
    </w:p>
    <w:p>
      <w:r>
        <w:rPr>
          <w:b/>
        </w:rPr>
        <w:t>E. 4</w:t>
      </w:r>
    </w:p>
    <w:p>
      <w:r>
        <w:t>Le Tribunal fédéral examine d'office et librement la recevabilité des recours qui lui sont soumis ( ATF 141 III 395 consid. 2.1).</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prévues à l' art. 93 LTF . La décision finale ( art. 90 LTF )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w:t>
      </w:r>
    </w:p>
    <w:p>
      <w:r>
        <w:rPr>
          <w:b/>
        </w:rPr>
        <w:t>E. 4.2</w:t>
      </w:r>
    </w:p>
    <w:p>
      <w:r>
        <w:t>En l'occurrence, la décision attaquée n'est pas une décision finale au sens de l' art. 90 LTF , puisqu'elle ordonne le renvoi de la cause à l'autorité de première instance pour complément d'instruction et nouvelle décision. Contrairement à ce que prétend la recourante, il ne s'agit pas davantage d'une décision partielle au sens de l' art. 91 LTF , puisque l'arrêt querellé ne statue pas sur une portion indépendante de ce qui est demandé sur le fond, ni ne met une partie hors de cause. Un tel arrêt de renvoi est une décision de nature incidente, qui ne porte pas sur la compétence ou une demande de récusation ( art. 92 LTF ), et qui tombe, partant, sous le coup de l' art. 93 LTF ( ATF 142 III 653 consid. 1.1; arrêts 4A_523/2015 du 18 décembre 2015 consid. 1; 4A_632/2012 du 21 février 2013 consid. 2.1).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(arrêt 4A_603/2020 du 16 novembre 2022 consid. 1.1).</w:t>
      </w:r>
    </w:p>
    <w:p>
      <w:r>
        <w:rPr>
          <w:b/>
        </w:rPr>
        <w:t>E. 4.3</w:t>
      </w:r>
    </w:p>
    <w:p>
      <w:r>
        <w:t>La recourante ne prétend pas, à juste titre, que l'arrêt attaqué serait susceptible de lui causer un préjudice irréparable au sens de l' art. 93 al. 1 let. a LTF . Elle soutient, en revanche, que l'admission du présent recours pourrait conduire immédiatement à une décision finale permettant d'éviter une procédure probatoire longue et coûteuse.</w:t>
      </w:r>
    </w:p>
    <w:p>
      <w:r>
        <w:rPr>
          <w:b/>
        </w:rPr>
        <w:t>E. 4.3.1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arrêts 4A_250/2024 du 16 mai 2024 consid. 4.3.1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133 III 629 consid. 2.4.2; 144 III 253 consid. 1.3; arrêt 4A_603/2020, précité, consid. 1.1 et les références citées).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 4A_250/2024, précité, consid. 4.3.1 et les références citées).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arrêts 4A_250/2024, précité, consid. 4.3.1; 4A_212/2022 du 14 juin 2022 consid. 4.3; 4D_41/2021 du 14 juillet 2021 consid. 5.3)</w:t>
      </w:r>
    </w:p>
    <w:p>
      <w:r>
        <w:rPr>
          <w:b/>
        </w:rPr>
        <w:t>E. 4.3.2</w:t>
      </w:r>
    </w:p>
    <w:p>
      <w:r>
        <w:t>En l'espèce, la recourante fait valoir que son adversaire a sollicité l'audition des parties et de divers témoins qui devront s'exprimer sur des dizaines d'allégués, ce qui nécessitera vraisemblablement la tenue de plusieurs audiences. Elle soutient aussi que les auditions porteront sur divers aspects juridiques et occasionneront des frais qui dépasseront plusieurs milliers de francs. Elle fait aussi remarquer que l'intimé a requis la production de pièces supplémentaires en mains d'un tiers, pièces qui pourraient amener les parties à compléter leurs moyens de droit. La recourante souligne également qu'un tiers pourrait être potentiellement amené à intervenir dans la présente procédure, ce qui pourrait rallonger et rendre plus coûteuse la procédure. À son avis, elle pourrait en outre être tenue de multiplier les démarches procédurales pour obtenir gain de cause dans l'hypothèse où la demande introduite à son encontre viendrait à être admise.</w:t>
      </w:r>
    </w:p>
    <w:p>
      <w:r>
        <w:rPr>
          <w:b/>
        </w:rPr>
        <w:t>E. 4.3.3</w:t>
      </w:r>
    </w:p>
    <w:p>
      <w:r>
        <w:t>L'argumentation présentée par la recourante ne permet pas de retenir que la seconde condition cumulative de l' art. 93 al. 1 let. b LTF serait remplie. C'est le lieu de rappeler ici que l'audition de plusieurs personnes ne saurait justifier un recours immédiat au Tribunal fédéral, étant précisé que celui-ci a déjà considéré que l'audition de treize témoins et des parties au procès ainsi que l'administration de nombreuses pièces ne remplissaient pas les réquisits de l' art. 93 al. 1 let. b LTF (arrêt 4A_518/2022 du 15 décembre 2022 consid. 6.3.2). Pour le reste, les autres éléments avancés par l'intéressée ne suffisent pas à établir l'existence d'une procédure probatoire qui, par sa durée et son coût, s'écarterait notablement des procès habituels. On relèvera encore que l' art. 93 al. 1 let. b LTF ne vise que la procédure probatoire , à savoir l'administration des preuves, et non la procédure judiciaire en tant que telle. Aussi seuls les délais et coûts de la procédure probatoire entrent-ils en ligne de compte. C'est dès lors en pure perte que la recourante se plaint de ce que la procédure pourrait être sensiblement rallongée si le Tribunal fédéral n'entrait pas en matière sur son recours.</w:t>
      </w:r>
    </w:p>
    <w:p>
      <w:r>
        <w:rPr>
          <w:b/>
        </w:rPr>
        <w:t>E. 5</w:t>
      </w:r>
    </w:p>
    <w:p>
      <w:r>
        <w:t>Il s'ensuit que le présent recours est irrecevable. La recourante, qui succombe, supportera les frais de la présente procédure ( art. 66 al. 1 LTF ). L'intimé,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