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4A_608/2019 vom 19. Februar 2020</w:t>
      </w:r>
    </w:p>
    <w:p>
      <w:r>
        <w:t>Bundesgericht, 2020-02-19, DE</w:t>
      </w:r>
    </w:p>
    <w:p>
      <w:r>
        <w:rPr>
          <w:b/>
        </w:rPr>
        <w:t xml:space="preserve">Quelle: </w:t>
      </w:r>
      <w:r>
        <w:t>https://mcp.opencaselaw.ch/entscheid/bger_4A_608_2019</w:t>
      </w:r>
    </w:p>
    <w:p>
      <w:r>
        <w:t>FR: TF 4A_608/2019 du 19 février 2020</w:t>
      </w:r>
    </w:p>
    <w:p>
      <w:r>
        <w:t>IT: TF 4A_608/2019 del 19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4A_608/2019</w:t>
      </w:r>
    </w:p>
    <w:p>
      <w:r>
        <w:t>Urteil vom 19. Februar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Beschwerdeführer,</w:t>
      </w:r>
    </w:p>
    <w:p>
      <w:r>
        <w:t>gegen</w:t>
      </w:r>
    </w:p>
    <w:p>
      <w:r>
        <w:t>C.________,</w:t>
      </w:r>
    </w:p>
    <w:p>
      <w:r>
        <w:t>vertreten durch Rechtsanwältin Dr. Marianne Schaub-Hristic,</w:t>
      </w:r>
    </w:p>
    <w:p>
      <w:r>
        <w:t>Beschwerdegegner.</w:t>
      </w:r>
    </w:p>
    <w:p>
      <w:r>
        <w:t>Gegenstand</w:t>
      </w:r>
    </w:p>
    <w:p>
      <w:r>
        <w:t>Ausweisung,</w:t>
      </w:r>
    </w:p>
    <w:p>
      <w:r>
        <w:t>Beschwerde gegen das Urteil des Obergerichts des Kantons Zürich, II. Zivilkammer, vom 5. Dezember 2019 (PF190057-O/U).</w:t>
      </w:r>
    </w:p>
    <w:p>
      <w:r>
        <w:t>In Erwägung,</w:t>
      </w:r>
    </w:p>
    <w:p>
      <w:r>
        <w:t>dass die Beschwerdeführer gegen den Entscheid des Obergerichts des Kantons Zürich vom 5. Dezember 2019 mit Eingabe vom 10. Dezember 2019 Beschwerde erhoben haben;</w:t>
      </w:r>
    </w:p>
    <w:p>
      <w:r>
        <w:t>dass das Bundesgericht mit Verfügung vom 13. Dezember 2019 das Gesuch der Beschwerdeführer um Erteilung der aufschiebenden Wirkung abwies;</w:t>
      </w:r>
    </w:p>
    <w:p>
      <w:r>
        <w:t>dass die Beschwerdeführer den ihnen auferlegten Kostenvorschuss auch innerhalb der mit Verfügung vom 21. Januar 2020 angesetzten Nachfrist nicht geleistet haben, weshalb gestützt auf Art. 62 Abs. 3 BGG auf die Beschwerde nicht einzutreten ist ( Art. 108 Abs. 1 lit. a BGG );</w:t>
      </w:r>
    </w:p>
    <w:p>
      <w:r>
        <w:t>dass die Gerichtskosten dem Verfahrensausgang entsprechend den Beschwerdeführern aufzuerlegen sind ( Art. 66 Abs. 1, 3 und 5 BGG );</w:t>
      </w:r>
    </w:p>
    <w:p>
      <w:r>
        <w:t>dass dem Beschwerdegegner keine Parteientschädigung zuzusprechen ist, da ihm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den Beschwerdeführern (unter solidarischer Haftbarkeit und intern je zur Hälfte)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Parteien, dem Obergericht des Kantons Zürich, II. Zivilkammer, und dem Betreibungsamt Seuzach schriftlich mitgeteilt.</w:t>
      </w:r>
    </w:p>
    <w:p>
      <w:r>
        <w:t>Lausanne, 19. Februar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