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607/2017 vom 7. Dezember 2017</w:t>
      </w:r>
    </w:p>
    <w:p>
      <w:r>
        <w:t>Bundesgericht, 2017-12-07, DE</w:t>
      </w:r>
    </w:p>
    <w:p>
      <w:r>
        <w:rPr>
          <w:b/>
        </w:rPr>
        <w:t xml:space="preserve">Quelle: </w:t>
      </w:r>
      <w:r>
        <w:t>https://mcp.opencaselaw.ch/entscheid/bger_4A_607_2017</w:t>
      </w:r>
    </w:p>
    <w:p>
      <w:r>
        <w:t>FR: TF 4A 607/2017 du 7 décembre 2017</w:t>
      </w:r>
    </w:p>
    <w:p>
      <w:r>
        <w:t>IT: TF 4A 607/2017 del 7 dicembre 2017</w:t>
      </w:r>
    </w:p>
    <w:p>
      <w:pPr>
        <w:pStyle w:val="Heading2"/>
      </w:pPr>
      <w:r>
        <w:t>Regeste</w:t>
      </w:r>
    </w:p>
    <w:p>
      <w:r>
        <w:t>Ausstand | Vertragsrecht</w:t>
      </w:r>
    </w:p>
    <w:p>
      <w:pPr>
        <w:pStyle w:val="Heading2"/>
      </w:pPr>
      <w:r>
        <w:t>Volltext</w:t>
      </w:r>
    </w:p>
    <w:p>
      <w:r>
        <w:t>Bundesgericht I. Zivilrechtliche Abteilung 07.12.2017 4A 607/2017 (4A_607/2017) Tribunal fédéral Ire Cour de droit civil 07.12.2017 4A 607/2017 (4A_607/2017) Tribunale federale I Corte di diritto civile 07.12.2017 4A 607/2017 (4A_607/2017)</w:t>
      </w:r>
    </w:p>
    <w:p>
      <w:r>
        <w:t>Ausstand | Vertragsrecht</w:t>
      </w:r>
    </w:p>
    <w:p>
      <w:r>
        <w:t>Bundesgericht Tribunal fédéral Tribunale federale Tribunal federal 4A_607/2017 Urteil vom 7. Dezember 2017 I. zivilrechtliche Abteilung Besetzung Bundesrichterin Kiss, Präsidentin, Gerichtsschreiber Kölz. Verfahrensbeteiligte 1. A.________, 2. B.________, 3. C.________ &amp; Co., Beschwerdeführer, gegen 1. Urs Tschümperlin, 2. Reto Heizmann, beide c/o Kantonsgericht Schwyz, Beschwerdegegner. Gegenstand Ausstand, Beschwerde gegen die Verfügung des Kantonsgerichts Schwyz, Kantonsgerichtsvizepräsidentin, vom 11. Oktober 2017 (ZK2 2017 50). In Erwägung, dass der Einzelrichter am Bezirksgericht Einsiedeln A.________, B.________ und die C.________ &amp; Co. (Beschwerdeführer 1-3) mit Verfügung vom 8. Mai 2017 verurteilte, die 4.5-Zimmer-Wohnung im 1. Obergeschoss Ost und das Kellerabteil Nr. 6, Strasse X.________, U.________, innert 14 Tagen ordnungsgemäss zu räumen und der D.________ AG zu übergeben; dass A.________, B.________ und die C.________ &amp; Co. gegen diese Verfügung am 19. April 2017 Berufung an das Kantonsgericht Schwyz erhoben; dass A.________, B.________ und die C.________ &amp; Co. am 2. Oktober 2017 ein "Ausstands- und Ablehnungsbegehren" gegen Kantonsgerichtspräsident Urs Tschümperlin und Kantonsgerichtsvizepräsident Reto Heizmann (Beschwerdegegner 1-2) stellten; dass die Kantonsgerichtsvizepräsidentin darauf mit Verfügung vom 11. Oktober 2017 nicht eintrat; dass A.________, B.________ und die C.________ &amp; Co. hiergegen Beschwerde an das Bundesgericht erhoben und um Gewährung der aufschiebenden Wirkung sowie der unentgeltlichen Rechtspflege für das bundesgerichtliche Verfahren ersucht haben; dass keine Vernehmlassungen 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 dass die Partei, welche die Sachverhaltsfeststellung der Vorinstanz anfechten will, klar und substanziiert aufzeigen muss, inwiefern diese Voraussetzungen erfüllt sein sollen ( BGE 140 III 16 E. 1.3.1 S. 18 mit Hinweisen); dass die Beschwerdeführer eingangs ausführen, eine "offensichtlich unrichtige und willkürliche Feststellung des Sachverhalts" geltend zu machen, jedoch in der Folge keinen Willkürvorwurf im Sinne von Art. 9 BV begründen; dass das Kantonsgericht im Einzelnen darlegte, aus welchen Gründen das Ausstandsgesuch offensichtlich unbegründet sei; dass die Beschwerde auf diese Erwägungen keinen nachvollziehbaren Bezug nimmt und damit den erwähnten Begründungsanforderungen offensichtlich nicht genügt; dass die zahlreichen "Anträge", welche die Beschwerdeführer stellen, und die Rügen, welche sie diesbezüglich erheben, ohne Bezugnahme auf die Erwägungen der Vorinstanz begründet und auf eigene Sachverhaltsdarstellungen gestützt werden, die nach dem Dargelegten unzulässig sind; dass die Beschwerdeführer auch die Befangenheit der vorinstanzlichen Richterin behaupten, in diesem Zusammenhang aber einzig auf ein "Ausstands- und Ablehnungsbegehren vom 18. Oktober 2017" verweisen, womit sie die Begründungsanforderungen ebenfalls verfehlen; dass die Beschwerde offensichtlich keine hinreichende Begründung enthält, weshalb im vereinfachten Verfahren gemäss Art. 108 Abs. 1 lit. b BGG nicht auf sie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Kantonsgerichtsvizepräsidentin,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