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4A_606/2019 vom 15. Juli 2020</w:t>
      </w:r>
    </w:p>
    <w:p>
      <w:r>
        <w:t>Bundesgericht, 2020-07-15, DE</w:t>
      </w:r>
    </w:p>
    <w:p>
      <w:r>
        <w:rPr>
          <w:b/>
        </w:rPr>
        <w:t xml:space="preserve">Quelle: </w:t>
      </w:r>
      <w:r>
        <w:t>https://mcp.opencaselaw.ch/entscheid/bger_4A_606_2019</w:t>
      </w:r>
    </w:p>
    <w:p>
      <w:r>
        <w:t>FR: TF 4A_606/2019 du 15 juillet 2020</w:t>
      </w:r>
    </w:p>
    <w:p>
      <w:r>
        <w:t>IT: TF 4A_606/2019 del 15 luglio 2020</w:t>
      </w:r>
    </w:p>
    <w:p>
      <w:pPr>
        <w:pStyle w:val="Heading2"/>
      </w:pPr>
      <w:r>
        <w:t>Erwägungen</w:t>
      </w:r>
    </w:p>
    <w:p>
      <w:r>
        <w:rPr>
          <w:b/>
        </w:rPr>
        <w:t>E. 1</w:t>
      </w:r>
    </w:p>
    <w:p>
      <w:r>
        <w:t>Gemäss Art. 54 Abs. 1 BGG wird das bundesgerichtliche Verfahren in der Regel in der Sprache des angefochtenen Entscheids geführt. Das Urteil des Bundesgerichts ergeht daher auf Deutsch.</w:t>
      </w:r>
    </w:p>
    <w:p>
      <w:r>
        <w:rPr>
          <w:b/>
        </w:rPr>
        <w:t>E. 2</w:t>
      </w:r>
    </w:p>
    <w:p>
      <w:r>
        <w:t>Das Kantonsgericht hat als letzte kantonale Instanz im Sinne von Art. 75 BGG entschieden. Weiter übersteigt der gemäss Art. 51 Abs. 1 lit. a BGG berechnete Streitwert den Mindestbetrag von Fr. 30'000.-- ( Art. 74 Abs. 1 lit. b BGG ), so dass die Beschwerde in Zivilsachen offensteht.</w:t>
      </w:r>
    </w:p>
    <w:p>
      <w:r>
        <w:t>Da auch die übrigen Sachurteilsvoraussetzungen erfüllt sind, ist auf die Beschwerde einzutreten, unter Vorbehalt zulässiger und hinlänglich begründeter Rügen (siehe Erwägung 3).</w:t>
      </w:r>
    </w:p>
    <w:p>
      <w:r>
        <w:rPr>
          <w:b/>
        </w:rPr>
        <w:t>E. 3.1</w:t>
      </w:r>
    </w:p>
    <w:p>
      <w:r>
        <w:t>Mit Beschwerde in Zivilsachen können Rechtsverletzungen nach Art. 95 und 96 BGG gerügt werden.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3.3</w:t>
      </w:r>
    </w:p>
    <w:p>
      <w:r>
        <w:t>Soweit die Parteien die vorinstanzliche Beweiswürdigung kritisieren, ist zu beachten, dass das Bundesgericht in diese nur eingreift, wenn sie willkürlich ist. Willkür ist nicht schon dann zu bejahen, wenn die Beweiswürdigung nicht mit der Darstellung der beschwerdeführenden Partei übereinstimmt, sondern bloss, wenn sie offensichtlich unhaltbar ist ( BGE 135 II 356 E. 4.2.1 ; 129 I 8 E. 2.1). Dies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4</w:t>
      </w:r>
    </w:p>
    <w:p>
      <w:r>
        <w:t>Fest steht, dass die Beschwerdeführer der Beschwerdegegnerin 2010 24'415 kg Trauben gut ablieferten und deshalb Anspruch auf einen Kaufpreis von Fr. 76'888.20 haben. Umstritten ist dagegen die von der Beschwerdegegnerin widerklageweise geltend gemachte Konventionalstrafe gemäss Art. 5 des Vertrages. Die Vorinstanz schützte die Feststellung des Bezirksgerichts, wonach die Beschwerdeführer 2010 nur einen Teil des vereinbarten Traubenguts an die Beschwerdegegnerin geliefert und damit den zwischen ihnen abgeschlossenen Vertrag verletzt haben. Sie erwog, schon aufgrund der Expertise sei erwiesen, dass die Beschwerdeführer der Beschwerdegegnerin dieser vertraglich zustehendes Traubengut vorenthalten hätten, und zwar 55.5 % der geschuldeten Lieferung. Dabei ging sie von einer "Soll-Liefermenge" von 54'847 kg aus, unter Berücksichtigung der Kündigung einzelner Rebparzellen, eines allgemein tieferen Ertrags im Jahr 2010 und von Pilzkrankheiten. Weiter befand sie, mit der Festlegung der Höhe auf den Geldwert einer ganzen Jahresernte, berechnet auf dem Durchschnitt der drei Vorjahre, hätten die Parteien eine massiv übersetzte Konventionalstrafe vereinbart. Aus diesem Grund reduzierte sie diese betragsmässig auf "rund die Hälfte einer Jahresernte". Zudem legte sie der Berechnung nicht den Durchschnittswert der Vorjahre, sondern das "Ernte-Soll" 2010 zugrunde und schloss, die volle Konventionalstrafe betrage die Hälfte von diesem Sollwert (Fr. 177'155.80), also Fr. 88'577.90. Damit schuldeten die Beschwerdeführer der Beschwerdegegnerin "im Verhältnis zu der ihnen anzulastenden Nichterfüllung des Vertrages von 55.5 %" eine Konventionalstrafe von Fr. 49'160.75.</w:t>
      </w:r>
    </w:p>
    <w:p>
      <w:r>
        <w:rPr>
          <w:b/>
        </w:rPr>
        <w:t>E. 5</w:t>
      </w:r>
    </w:p>
    <w:p>
      <w:r>
        <w:t>Die Beschwerdeführer machen unter verschiedenen Gesichtspunkten geltend, die Vorinstanz habe zu Unrecht eine Vertragsverletzung festgestellt und den Anspruch der Beschwerdegegnerin auf eine Konventionalstrafe (im Grundsatz) bejaht.</w:t>
      </w:r>
    </w:p>
    <w:p>
      <w:r>
        <w:rPr>
          <w:b/>
        </w:rPr>
        <w:t>E. 5.1</w:t>
      </w:r>
    </w:p>
    <w:p>
      <w:r>
        <w:t>Die Beschwerdeführer kritisieren die Beweiswürdigung. Sie meinen, die Vorinstanz habe unrichtigerweise aus der Expertise vom 20. Mai 2016 geschlossen, dass sie</w:t>
      </w:r>
    </w:p>
    <w:p>
      <w:r>
        <w:t>der Beschwerdegegnerin zustehendes Traubengut selbstverwertet oder an Dritte geliefert hätten. Die Vorinstanz stützte die Feststellung der teilweisen Nichterfüllung allerdings wie bereits das Bezirksgericht nebst der Expertise auch auf den Umstand, dass die Beschwerdeführer der Beschwerdegegnerin nicht sämtliche Bescheinigungen (Aquits) ausgehändigt hätten, sowie auf den Einbruch der Erntemenge. Die Beschwerdeführer können die Beweiswürdigung nicht als willkürlich ausweisen, indem sie ihr lediglich ihre eigene Würdigung der vorliegenden Urkunden gegenüberstellen (Erwägung 3.3).</w:t>
      </w:r>
    </w:p>
    <w:p>
      <w:r>
        <w:t>Weiter kritisieren die Beschwerdeführer die festgestellte Soll-Liefermenge von 54'847 kg, da die Vorinstanz unzutreffend davon ausgegangen sei, der von ihr vorgenommene Abzug von 15% enthalte auch die Reduktion für Pilzkrankheiten. Die Vorinstanz führte indessen lediglich aus, "[m]an könnte sich sogar fragen, ob im Ernteeinbruch von 15% die ganze Pilzproblematik nicht bereits enthalten ist", bestätigte aber in der Folge den von der Erstinstanz gewährten doppelten Abzug einerseits für Pilzkrankheiten und andererseits für allgemeinen Ertragseinbruch, auch wenn sie diesen als "grosszügig" bezeichnete. Im Übrigen erwog die Vorinstanz in diesem Zusammenhang, die Beschwerdeführer wiederholten in ihrer Berufung weitgehend bloss ihren Standpunkt, was in Bezug auf die Begründungsanforderungen nicht genüge. Die Beschwerdeführer legen nicht mit Aktenhinweisen dar, inwiefern in dieser Beurteilung eine vom Bundesgericht überprüfbare Rechtsverletzung liegen soll.</w:t>
      </w:r>
    </w:p>
    <w:p>
      <w:r>
        <w:rPr>
          <w:b/>
        </w:rPr>
        <w:t>E. 5.2</w:t>
      </w:r>
    </w:p>
    <w:p>
      <w:r>
        <w:t>Die Beschwerdeführer beanstanden sodann eine falsche Beweislastverteilung. Die Rüge verfehlt ihr Ziel: Nachdem die Vorinstanz in willkürfreier Würdigung der Beweise festgestellt hat, dass die Beschwerdeführer nicht das gesamte produzierte Traubengut</w:t>
      </w:r>
    </w:p>
    <w:p>
      <w:r>
        <w:t>abgeliefert , sondern der Beschwerdegegnerin dieser vertraglich zustehendes Traubengut</w:t>
      </w:r>
    </w:p>
    <w:p>
      <w:r>
        <w:t>vorenthalten haben (Erwägungen 4 und 5.1), ist die Beweislastverteilung insofern gegenstandslos (siehe etwa BGE 141 III 241 E. 3.2 mit weiteren Hinweisen). Ob die Beschwerdeführer über die Pflicht zur</w:t>
      </w:r>
    </w:p>
    <w:p>
      <w:r>
        <w:t>Ablieferung des geernteten Traubenguts hinaus eine Pflicht traf, eine bestimmte Menge Traubengut zu</w:t>
      </w:r>
    </w:p>
    <w:p>
      <w:r>
        <w:t>produziere n, kann unter diesen Umständen offenbleiben.</w:t>
      </w:r>
    </w:p>
    <w:p>
      <w:r>
        <w:rPr>
          <w:b/>
        </w:rPr>
        <w:t>E. 5.3</w:t>
      </w:r>
    </w:p>
    <w:p>
      <w:r>
        <w:t>Schliesslich beanstanden die Beschwerdeführer einen Verstoss gegen Art. 97 OR sowie Art. 160 Abs. 1 OR , da ihnen zu Unrecht eine Vertragsverletzung zur Last gelegt werde. Indessen gehen sie bei der Begründung dieser Rüge davon aus, sie hätten der Beschwerdegegnerin das gesamte auf den vertragsgegenständlichen Parzellen geerntete Traubengut abgeliefert, und die geringere Liefermenge sei auf einen unverschuldeten Rückgang der Erntemenge zurückzuführen. Da diese Behauptungen der für das Bundesgericht verbindlichen Feststellung der Vorinstanz widersprechen, ist darauf nicht weiter einzugehen.</w:t>
      </w:r>
    </w:p>
    <w:p>
      <w:r>
        <w:rPr>
          <w:b/>
        </w:rPr>
        <w:t>E. 6</w:t>
      </w:r>
    </w:p>
    <w:p>
      <w:r>
        <w:t>Die Beschwerdeführer rügen sodann, die Konventionalstrafe sei nicht geschuldet, da sie den Vertrag unbestrittenermassen zumindest teilweise erfüllt hätten. I m Fall der teilweisen Nichterfüllung ("inexécution partielle") sei mangels ausdrücklicher Vereinbarung keine Konventionalstrafe geschuldet.</w:t>
      </w:r>
    </w:p>
    <w:p>
      <w:r>
        <w:t>Wenn für den Fall der Nichterfüllung oder der nicht richtigen Erfüllung eines Vertrages eine Konventionalstrafe versprochen ist, so ist der Gläubiger mangels anderer Abrede nur berechtigt, entweder die Erfüllung oder die Strafe zu fordern ( Art. 160 Abs. 1 OR ). Bei einer bloss teilweisen Erfüllung ist die Konventionalstrafe im Verhältnis zum nicht erfüllten Teil geschuldet, und zwar unabhängig von der Herabsetzung gemäss Art. 163 Abs. 3 OR , wie das Bundesgericht in einem vergleichbaren Fall entschieden hat (Urteil 4A_653/2016 vom 20. Oktober 2017 E. 5.2.2 mit Hinweisen). Die Beschwerdeführer vermögen nicht aufzuzeigen, weshalb im vorliegenden Fall etwas Abweichendes gelten soll. Entgegen ihrer Auffassung ist das Vorgehen der Vorinstanz ohne Weiteres mit BGE 122 III 420 und der darin zitierten Literaturstelle (VON TUHR/ESCHER, Allgemeiner Teil des Schweizerischen Obligationenrechts, Bd. II, 3. Aufl. 1974, S. 282) zu vereinbaren, die sich mit dem Fall der</w:t>
      </w:r>
    </w:p>
    <w:p>
      <w:r>
        <w:t>nicht richtigen Erfüllung befassen. Eine nach Art. 160 Abs. 1 OR ausgeschlossene Kumulation von Leistung und Konventionalstrafe findet hier gerade nicht statt. Weshalb in der Entgegennahme der teilweisen Leistung ein Verzicht der Beschwerdegegnerin auf die</w:t>
      </w:r>
    </w:p>
    <w:p>
      <w:r>
        <w:t>ganze Konventionalstrafe liegen soll, ist nicht nachvollziehbar.</w:t>
      </w:r>
    </w:p>
    <w:p>
      <w:r>
        <w:rPr>
          <w:b/>
        </w:rPr>
        <w:t>E. 7</w:t>
      </w:r>
    </w:p>
    <w:p>
      <w:r>
        <w:t>Schliesslich machen die Beschwerdeführer geltend, die Vorinstanz habe die Konventionalstrafe nur ungenügend herabgesetzt.</w:t>
      </w:r>
    </w:p>
    <w:p>
      <w:r>
        <w:rPr>
          <w:b/>
        </w:rPr>
        <w:t>E. 7.1</w:t>
      </w:r>
    </w:p>
    <w:p>
      <w:r>
        <w:t>Gemäss Art. 163 Abs. 3 OR hat der Richter übermässig hohe Konventionalstrafen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133 III 201 E. 5.2 S. 209, 43 E. 3.3.1; Urteil 4A_268/2016 vom 14. Dezember 2016 E. 5.1, nicht publ. in BGE 143 III 1 ). Das Ermessen des Richters bezieht sich sowohl auf die Frage der Übermässigkeit der Strafe als auch auf den Umfang der Herabsetzung. Der Richter hat die Strafe bloss soweit zu reduzieren, dass sie nicht mehr als übermässig erscheint ( BGE 133 III 201 E. 5.2 S. 210).</w:t>
      </w:r>
    </w:p>
    <w:p>
      <w:r>
        <w:t>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135 III 121 E. 2; 133 III 201 E. 5.4 S. 211; 129 III 380 E. 2; Urteil 4A_268/2016 vom 14. Dezember 2016 E. 5.1, nicht publ. in BGE 143 III 1 ).</w:t>
      </w:r>
    </w:p>
    <w:p>
      <w:r>
        <w:rPr>
          <w:b/>
        </w:rPr>
        <w:t>E. 7.2</w:t>
      </w:r>
    </w:p>
    <w:p>
      <w:r>
        <w:t>Die Beschwerdeführer zeigen keinen hinlänglichen Anlass für das Bundesgericht auf, um hier in das Ermessen der Vorinstanz einzugreifen:</w:t>
      </w:r>
    </w:p>
    <w:p>
      <w:r>
        <w:t>Sie meinen, die Vorinstanz habe das Urteil 4A_653/2016 vom 20. Oktober 2017 falsch interpretiert. Zu Unrecht: In diesem Fall lag eine Nichterfüllung im Umfang von 25 % während zwei Jahren vor (2009 und 2010), weshalb das Kantonsgericht die Konventionalstrafe auf total 50 % der Vergütung für eine Jahresernte (Fr. 100'814.50) festgesetzt hatte, d.h. auf Fr. 50'407.25. Das Bundesgericht setzte diesen Betrag in Anwendung von Art. 163 Abs. 3 OR auf Fr. 25'203.60 herab, also die Hälfte (E. 5.2.4). Die Beschwerdeführer beziehen sich auf E. 5.2.3 des Entscheids. Darin setzte sich das Bundesgericht mit der Berechnung der Vorinstanz auseinander, wonach der Verlust von Traubengut ("perte de vendange") gegenüber dem jeweiligen Vorjahr ungefähr Fr. 7'000.-- (2009) und Fr. 50'000.-- (2010) betragen habe. Das Bundesgericht errechnete daraus mit einer Marge von 30 % einen entgangenen Gewinn von Fr. 2'100.-- (2009) respektive Fr. 15'000.-- (2010), präzisierte jedoch, dass dieser auf diverse Gründe zurückzuführen sei und nicht notwendigerweise dem Rückgang zufolge der (vertragswidrigen) Reduktion der bebauten Fläche entspreche. Stelle man auf die Reduktion der bebauten Fläche um 25 % ab, ergebe sich ein entgangener Gewinn von Fr. 7'500.-- respektive total Fr. 15'000.--. Aus dieser Vergleichsrechnung schloss das Bundesgericht sodann lediglich, eine Konventionalstrafe von Fr. 50'407.25 sei offensichtlich übermässig. Den Beschwerdeführern kann somit nicht gefolgt werden, wenn sie aus dieser Erwägung ableiten wollen, in derartigen Fällen sei eine Herabsetzung um drei Viertel vorgeschrieben. Der Ermessensentscheid der Vorinstanz ist in dieser Hinsicht nicht zu beanstanden.</w:t>
      </w:r>
    </w:p>
    <w:p>
      <w:r>
        <w:t>Ferner nennen die Beschwerdeführer diverse Umstände, denen die Vorinstanz bei der Herabsetzung der Konventionalstrafe nicht oder nicht hinreichend Rechnung getragen habe, so etwa, dass die Beschwerdegegnerin keinen Schaden erlitten habe, weil sie sich bei Dritten habe versorgen können, und dass sie (die Beschwerdeführer) kein Verschulden treffe. Sie tun jedoch nicht mit Aktenhinweisen dar, dass sie insofern zu einer Sachverhaltsergänzung berechtigt sind. Aus diesem Grund kann auf die entsprechenden Behauptungen nicht abgestellt werden. Im Übrigen ist verbindlich festgestellt, dass die Beschwerdeführer der Beschwerdegnerin dieser vertraglich zustehendes Traubengut vorenthalten haben (Erwägungen und 5.1), was in dem im Urteil 4A_653/2016 vom 20. Oktober 2017 zu beurteilenden Fall gerade nicht zutraf.</w:t>
      </w:r>
    </w:p>
    <w:p>
      <w:r>
        <w:rPr>
          <w:b/>
        </w:rPr>
        <w:t>E. 8</w:t>
      </w:r>
    </w:p>
    <w:p>
      <w:r>
        <w:t>Die Beschwerde ist abzuweisen, soweit darauf eingetreten werden kann. Dem Ausgang des Verfahrens entsprechend werden die Beschwerdeführer in solidarischer Haftbarkeit kosten - und entschädigungspflichtig (siehe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