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606/2017 vom 30. April 2018</w:t>
      </w:r>
    </w:p>
    <w:p>
      <w:r>
        <w:t>Bundesgericht, 2018-04-30, DE</w:t>
      </w:r>
    </w:p>
    <w:p>
      <w:r>
        <w:rPr>
          <w:b/>
        </w:rPr>
        <w:t xml:space="preserve">Quelle: </w:t>
      </w:r>
      <w:r>
        <w:t>https://mcp.opencaselaw.ch/entscheid/bger_4A_606_2017</w:t>
      </w:r>
    </w:p>
    <w:p>
      <w:r>
        <w:t>FR: TF 4A 606/2017 du 30 avril 2018</w:t>
      </w:r>
    </w:p>
    <w:p>
      <w:r>
        <w:t>IT: TF 4A 606/2017 del 30 aprile 2018</w:t>
      </w:r>
    </w:p>
    <w:p>
      <w:pPr>
        <w:pStyle w:val="Heading2"/>
      </w:pPr>
      <w:r>
        <w:t>Regeste</w:t>
      </w:r>
    </w:p>
    <w:p>
      <w:r>
        <w:t>Sorgfaltspflichtverletzung; Genugtuung | Haftpflichtrecht</w:t>
      </w:r>
    </w:p>
    <w:p>
      <w:pPr>
        <w:pStyle w:val="Heading2"/>
      </w:pPr>
      <w:r>
        <w:t>Erwägungen</w:t>
      </w:r>
    </w:p>
    <w:p>
      <w:r>
        <w:rPr>
          <w:b/>
        </w:rPr>
        <w:t>E. 1</w:t>
      </w:r>
    </w:p>
    <w:p>
      <w:r>
        <w:t>Das Bundesgericht prüft von Amtes wegen und mit freier Kognition, ob ein Rechtsmittel zulässig ist ( Art. 29 Abs. 1 BGG ; BGE 141 III 395 E. 2.1 mit Hinweisen).</w:t>
      </w:r>
    </w:p>
    <w:p>
      <w:r>
        <w:rPr>
          <w:b/>
        </w:rPr>
        <w:t>E. 1.1</w:t>
      </w:r>
    </w:p>
    <w:p>
      <w:r>
        <w:t>Die Beschwerde richtet sich gegen einen Endentscheid ( Art. 90 BGG ) eines oberen kantonalen Gerichts, das in einer Zivilsache ( Art. 72 Abs. 1 BGG ) als Rechtsmittelinstanz entschieden hat ( Art. 75 BGG ). Der Streitwert übersteigt den Betrag von Fr. 30'000.-- ( Art. 74 Abs. 1 lit. b BGG ). Die Rechtsbegehren der Beschwerdeführer sind im kantonalen Verfahren nicht geschützt worden ( Art. 76 Abs. 1 BGG ) und die Beschwerde erging fristgerecht ( Art. 100 Abs. 1 BGG ). Auf die Beschwerde ist unter Vorbehalt einer rechtsgenüglichen Begründung ( Art. 42 Abs. 2 BGG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S. 400).</w:t>
      </w:r>
    </w:p>
    <w:p>
      <w:r>
        <w:rPr>
          <w:b/>
        </w:rPr>
        <w:t>E. 2</w:t>
      </w:r>
    </w:p>
    <w:p>
      <w:r>
        <w:t>Die Beschwerdeführer rügen vorab eine unvollständige, teils offensichtlich unrichtige Feststellung des Sachverhalts sowie eine Verletzung von Art. 317 ZPO .</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2.2</w:t>
      </w:r>
    </w:p>
    <w:p>
      <w:r>
        <w:t>Die Beschwerdeführer machen geltend, die Vorinstanz habe den Sachverhalt unter Verletzung von Bundesrecht im Sinne von Art. 95 BGG unvollständig festgestellt ( Art. 97 Abs. 1 BGG ), weil sie bei tatsächlichen Ausführungen in der Berufungsantwort betreffend Fachkenntnisse des Beschwerdegegners fälschlicherweise von neuen Sachbehauptungen ausgegangen sei und diese aufgrund der Novenregelung in Art. 317 ZPO in der Folge nicht berücksichtigte. Wenn die Vorinstanz die Haftung des Beschwerdegegners mangels Erkennbarkeit der Gefährdung zu Recht verneinte, ist entgegen der Ansicht der Beschwerdeführer für den Ausgang des Verfahrens nicht entscheidend (vgl. Art. 97 Abs. 1 BGG ), ob der Beschwerdegegner die Drehschrankbetten ohne Weiteres an der Wand hätte befestigen können. Denn kann dem Beschwerdegegner die fehlende Erkennung der Gefährdung mangels Fixierung der Wandschrankbetten nicht vorgeworfen werden, ist ein Verschulden - unabhängig von allfälligen Fähigkeiten, eine solche Befestigung vorzunehmen - von vornherein ausgeschlossen. Im Übrigen sind die pauschalen Behauptungen, der Beschwerdegegner habe sich selbst als technischen Kaufmann bezeichnet und er habe gegenüber dem Untersuchungsrichter fachkundige Ausführungen zur Sicherheit der Bettenkonstruktion gemacht, nicht genügend substanziiert. Demnach kann der Vorinstanz keine Verletzung von Art. 317 ZPO vorgeworfen werden, wenn sie die entsprechenden Vorbringen ihrem Urteil nicht zugrunde legte.</w:t>
      </w:r>
    </w:p>
    <w:p>
      <w:r>
        <w:rPr>
          <w:b/>
        </w:rPr>
        <w:t>E. 2.3</w:t>
      </w:r>
    </w:p>
    <w:p>
      <w:r>
        <w:t>Die Beschwerdeführer rügen weiter, dass das gerichtliche Gutachten der Eidgenössischen Materialprüfungs- und Forschungsanstalt (EMPA) von der Vorinstanz nicht genügend bzw. nur auszugsweise berücksichtigt worden sei. Zur Begründung verweisen sie auf einige Stellen des Gutachtens, welche ihrer Ansicht nach im vorinstanzlichen Urteil (eingehender) hätten berücksichtigt werden müssen und schliessen, die Sachverhaltsfeststellung durch die Vorinstanz sei in diesen Punkten unvollständig. Die Beschwerdeführer beschränken sich darauf, dem Ergebnis der vorinstanzlichen Beweiswürdigung und damit der Feststellung des Sachverhalts ihre eigene Würdigung der Beweise gegenüberzustellen. Sie unterlassen es aufzuzeigen, inwiefern die Vorinstanz hierbei in Willkür verfallen sein soll, weshalb sie die an eine rechtsgenügliche Sachverhaltsrüge gestellten Anforderungen nicht erfüllen. Dass die von Sachgerichten gezogenen Schlüsse nicht mit der eigenen Darstellung übereinstimmen, belegt jedenfalls keine Willkür ( BGE 140 III 264 E. 2.3 S. 266; 137 III 226 E. 4.2 S. 234; 136 III 552 E. 4.2).</w:t>
      </w:r>
    </w:p>
    <w:p>
      <w:r>
        <w:rPr>
          <w:b/>
        </w:rPr>
        <w:t>E. 3</w:t>
      </w:r>
    </w:p>
    <w:p>
      <w:r>
        <w:t>In rechtlicher Hinsicht rügen die Beschwerdeführer, die Vorinstanz habe Art. 41 OR verletzt, indem sie das Verschulden des Beschwerdegegners und damit ihren Anspruch auf Genugtuung nach Art. 49 OR verneinte.</w:t>
      </w:r>
    </w:p>
    <w:p>
      <w:r>
        <w:rPr>
          <w:b/>
        </w:rPr>
        <w:t>E. 3.1</w:t>
      </w:r>
    </w:p>
    <w:p>
      <w:r>
        <w:t>Nach der bundesgerichtlichen Rechtsprechung haben die nahen Angehörigen einer körperlich geschädigten Person gestützt auf Art. 49 OR Anspruch auf Ersatz des deswegen erlittenen seelischen Schadens, wenn dieser aussergewöhnlich ist. Die Ansprecher müssen in ihrer Persönlichkeit widerrechtlich verletzt und gleich schwer oder schwerer betroffen sein als im Falle der Tötung einer Angehörigen ( BGE 125 III 412 E. 2a S. 417; 117 II 50 E. 3a; 112 II 226 E. 3).</w:t>
      </w:r>
    </w:p>
    <w:p>
      <w:r>
        <w:rPr>
          <w:b/>
        </w:rPr>
        <w:t>E. 3.1.1</w:t>
      </w:r>
    </w:p>
    <w:p>
      <w:r>
        <w:t>Neben der Persönlichkeitsverletzung im Sinne von Art. 49 OR müssen zur Bejahung eines Anspruchs auf Genugtuung die allgemeinen Haftungsvoraussetzungen einer Haftpflichtnorm gegeben sein. Nach Art. 41 Abs. 1 OR ist die widerrechtliche Handlung bzw. Unterlassung trotz Handlungspflicht, der Kausalzusammenhang sowie das Verschulden zu beweisen (vgl. zu diesen Voraussetzungen BGE 137 III 539 E. 5.2 S. 544; 132 III 122 E. 4.1 S. 130). Verschulden setzt voraus, dass der Schädiger die mögliche Verursachung einer Schädigung einer Dritten durch sein Verhalten erkennt oder erkennen kann. Die Berücksichtigung der möglichen Schädigung einer Dritten stellt die Erfüllung der Sorgfaltspflicht dar, die dem Fahrlässigkeitsbegriff zugrundeliegt (OFTINGER/STARK, Schweizerisches Haftpflichtrecht, Erster Band: Allgemeiner Teil, 5. Aufl. 1995, § 5 Rz. 50). Sorgfaltswidrig verhält sich insbesondere, wer einen gefährlichen Zustand schafft oder unterhält, ohne die zur Vermeidung eines Schadens erforderlichen Schutzmassnahmen zu ergreifen (vgl. zum Gefahrensatz BGE 134 IV 193 E. 7.2, 255 E. 4.2.2; 126 III 113 E. 2a; je mit Hinweisen).</w:t>
      </w:r>
    </w:p>
    <w:p>
      <w:r>
        <w:rPr>
          <w:b/>
        </w:rPr>
        <w:t>E. 3.1.2</w:t>
      </w:r>
    </w:p>
    <w:p>
      <w:r>
        <w:t>Die Sorgfaltswidrigkeit ergibt sich aus dem Vergleich des tatsächlichen Verhaltens des Schädigers mit dem hypothetischen Verhalten eines durchschnittlich sorgfältigen Menschen in der Situation des Schädigers ( BGE 137 III 539 E. 5.2 S. 544 mit Hinweisen). Jede negative Abweichung von diesem geforderten Durchschnittsverhalten gilt als sorgfaltswidrig und damit als fahrlässig ( BGE 116 Ia 162 E. 2c S. 169 f.; vgl. dazu auch REY/WILDHABER, Ausservertragliches Haftpflichtrecht, 5. Aufl. 2018, S. 172 Rz. 1003 mit zahlreichen Hinweisen). Allerdings ist dieser objektivierte Sorgfaltsmassstab nicht starr für alle Schädiger gleich zu handhaben. Subjektive Umstände werden insofern in die Betrachtung einbezogen, als das Alter des Schädigers, sein Beruf, seine Erfahrung zu berücksichtigen sind (REY/WILDHABER, a.a.O, S. 173 Rz. 1006). Die Anforderungen an die Sorgfaltspflicht richten sich im Übrigen nach der Art, Wichtigkeit und Gefährlichkeit einer Tätigkeit (REY/WILDHABER, a.a.O, S. 173 Rz. 1007).</w:t>
      </w:r>
    </w:p>
    <w:p>
      <w:r>
        <w:rPr>
          <w:b/>
        </w:rPr>
        <w:t>E. 3.2</w:t>
      </w:r>
    </w:p>
    <w:p>
      <w:r>
        <w:t>Nach den Erwägungen der Vorinstanz ist bei der Beurteilung des Verhaltens des Beschwerdegegners der Sorgfaltsmassstab eines durchschnittlich sorgfältigen Verbrauchers anzuwenden, da dem Beschwerdegegner keine speziellen Kenntnisse oder gar Fachwissen betreffend Drehschrankbetten zukämen. Unter Verweis auf die beiden eingeholten Gutachten hielt die Vorinstanz sodann fest, dass die Betten ohne Fremdeinwirkung praktisch nicht hätten umkippen können, wenn der Bettfuss richtig aufgestellt und seine Position bis zum Kippvorgang nicht verändert worden wäre. Namentlich habe gemäss dem Gutachten der EMPA ein Durchschnittskonsument intuitiv davon ausgehen können, die grösste Kippgefahr entstehe beim Ausklappen der Liegefläche. Eine erhöhte Kippgefahr durch den schrägen Bettfuss sei erst nach einer einem Durchschnittskonsumenten kaum zumutbaren detaillierten Stabilitätsanalyse erkennbar gewesen. Im Gutachten des wissenschaftlichen Dienstes der Stadtpolizei Zürich sei diese Gefahr erst gar nicht erkannt worden. Die Vorinstanz schloss, von einem durchschnittlich sorgfältigen Menschen in der Situation des Beschwerdegegners könne nicht verlangt werden, er hätte sich eingehender mit der Konstruktion der Betten auseinandersetzen und die Gefährdung der fehlenden Wandbefestigung erkennen müssen.</w:t>
      </w:r>
    </w:p>
    <w:p>
      <w:r>
        <w:rPr>
          <w:b/>
        </w:rPr>
        <w:t>E. 3.3</w:t>
      </w:r>
    </w:p>
    <w:p>
      <w:r>
        <w:t>Die Beschwerdeführer rügen, die Vorinstanz habe den Beschwerdegegner unzutreffend als Durchschnittskonsumenten betrachtet. Sie verweisen in diesem Zusammenhang auf die im Parallelverfahren vom Obergericht des Kantons Zürich verwendete Definition des fachmännischen Nutzers (vgl. dazu 4A_70/2017 vom 14. Juli 2017 E. 2.3) und erläutern, hierunter falle eine Person, die das Bett übernimmt, zusammenbaut, aufstellt und dann darin schläft. Der Beschwerdegegner erfülle diese Anforderungen, da er das Bett übernommen, zusammengebaut und im Sommer 2005 aufgestellt habe. Die Argumentation der Beschwerdeführer verfängt nicht. So gestehen sie selbst ein, dass der Beschwerdegegner weder in den Betten geschlafen noch diese vor dem fraglichen Kollaps montiert hatte, sondern lediglich provisorisch im Sommer 2005. Im Dezember 2006 wurden die Drehschrankbetten vielmehr vom Sohn des Beschwerdegegners und dessen Freund aufgestellt, getestet und für sicher befunden, bevor die Gäste darin übernachteten. Die Vorinstanz betrachtete den Beschwerdegegner demnach zutreffend nicht als fachmännischen Nutzer. Dass der Sohn des Beschwerdegegners und dessen Freund in den Parallelverfahren mit einer anderen Begründung ebenfalls nicht als fachmännische Nutzer qualifiziert wurden, ändert - entgegen entsprechenden Vorbringen der Beschwerdeführer - hieran nichts.</w:t>
      </w:r>
    </w:p>
    <w:p>
      <w:r>
        <w:rPr>
          <w:b/>
        </w:rPr>
        <w:t>E. 3.4</w:t>
      </w:r>
    </w:p>
    <w:p>
      <w:r>
        <w:t>Im Übrigen vermögen die Beschwerdeführer mit ihren Vorbringen nicht aufzuzeigen, inwieweit die Gefahr der fehlenden Wandbefestigung der Schrankbetten vom Beschwerdegegner hätte erkannt werden müssen, wenn ihm weder Fachwissen noch spezielle Kenntnisse zukommen. Vielmehr schloss die Vorinstanz unter Verweis auf entsprechende gutachterliche Feststellungen zu Recht, von einem durchschnittlich sorgfältigen Verbraucher in der konkreten Position des Beschwerdegegners könne trotz einiger Lebenserfahrung nicht verlangt werden, er hätte die Gefahr der fehlenden Wandbefestigung der Drehschrankbetten erkennen müssen. Die Vorinstanz ging ferner zutreffend davon aus, dass weder das Wissen um die Fixierung beim Voreigentümer noch das Bestehen einer unverbindlichen technischen Norm bezüglich der Wandbefestigung von Drehschrankbetten zu einer anderen Schlussfolgerung führen können. Jedenfalls ist der Vorinstanz keine Verletzung von Bundesrecht vorzuwerfen, wenn sie die fragliche, an den Hersteller gerichtete und dem Beschwerdegegner denn auch unbestrittenermassen unbekannte technische Norm nicht als Wiedergabe ohnehin zu beachtender elementarer Sicherheitsüberlegungen betrachtete. Hinzu kommt nämlich, dass der Sohn des Beschwerdegegners und dessen Freund die nicht an der Wand befestigten Betten gemeinsam aufgestellt und getestet hatten, ohne dass etwas vorgefallen wäre. Selbst wenn dem Beschwerdegegner dieser Umstand nicht bekannt gewesen sein sollte - wie die Beschwerdeführer einwenden - zeugt er davon, dass die Gefährdung durch die fehlende Wandbefestigung von einem nicht fachmännischen Nutzer kaum erkannt werden konnte.</w:t>
      </w:r>
    </w:p>
    <w:p>
      <w:r>
        <w:rPr>
          <w:b/>
        </w:rPr>
        <w:t>E. 3.5</w:t>
      </w:r>
    </w:p>
    <w:p>
      <w:r>
        <w:t>Die Beschwerdeführer rügen ferner, die Vorinstanz habe zu Unrecht ein Übernahmeverschulden des Beschwerdegegners verneint, weil sie fälschlicherweise die geringen Anforderungen der eigenüblichen Sorgfalt an das Verhalten des Beschwerdegegners gestellt habe. Die Beschwerdeführer gestehen in diesem Zusammenhang zwar ein, dass gemäss Rechtsprechung bei Gefälligkeitshandlungen lediglich eigenübliche Sorgfalt verlangt wird, halten indessen dafür, der eingeschränkte Sorgfaltsmassstab sei bei der Prüfung der Erkennbarkeit als ethisch und juristisch neutrale Wissensebene nicht einschlägig, sondern nur auf der Willensebene. Die Beschwerdeführer verkennen, dass sich die Vorinstanz an diese Vorgaben hielt, wandte sie doch bei der Prüfung der Erkennbarkeit der Gefährdung den objektivierten Sorgfaltsmassstab eines Durchschnittskonsumenten in der Situation des Beschwerdegegners an und bezog sich nur bei der Willensebene auf die bei Gefälligkeiten aufzubringende eigenübliche Sorgfalt (vgl. zu dieser sog. diligentia quam in suis BGE 137 III 539 E. 5.2 S. 545 mit Hinweis). Da ein Verschulden von vornherein ausgeschlossen ist, wenn die sich aus einem Verhalten verwirklichte Gefahr nicht erkennbar war, hätte die Vorinstanz im Übrigen darauf verzichten können, die Willensebene ebenfalls zu prüfen.</w:t>
      </w:r>
    </w:p>
    <w:p>
      <w:r>
        <w:rPr>
          <w:b/>
        </w:rPr>
        <w:t>E. 3.6</w:t>
      </w:r>
    </w:p>
    <w:p>
      <w:r>
        <w:t>Insoweit die Beschwerdeführer schliesslich rügen, die Vorinstanz habe Art. 55 OR verletzt, weil sie den Beschwerdegegner nicht als Geschäftsherrn seines Sohnes und dessen Freundes betrachtete, kann ihnen nicht gefolgt werden. Einerseits vermögen sie mit ihren zu wenig konkreten Ausführungen nicht aufzuzeigen, inwiefern der Sohn des Beschwerdegegners und dessen Freund aufgrund eines Subordinationsverhältnisses Hilfspersonen des Beschwerdegegners darstellen sollten. Andererseits behaupten die Beschwerdeführer selbst nicht, dass die Drehschrankbetten im Rahmen einer dienstlichen oder geschäftlichen Verrichtung im Sinne von Art. 55 OR aufgestellt worden seien.</w:t>
      </w:r>
    </w:p>
    <w:p>
      <w:r>
        <w:rPr>
          <w:b/>
        </w:rPr>
        <w:t>E. 3.7</w:t>
      </w:r>
    </w:p>
    <w:p>
      <w:r>
        <w:t>Da der Beschwerdegegner weder kausal als Geschäftsherr haftet noch ihm vorgeworfen werden kann, er hätte die Kippgefahr erkennen müssen, hat er nicht für die Folgen des Kollapses der Drehschrankbetten - seien sie auch noch so tragisch - einzustehen. Demnach wies die Vorinstanz den geltend gemachten Anspruch auf Genugtuung (Art. 49 i.V.m. Art. 41 OR ) zu Recht ab.</w:t>
      </w:r>
    </w:p>
    <w:p>
      <w:r>
        <w:rPr>
          <w:b/>
        </w:rPr>
        <w:t>E. 4</w:t>
      </w:r>
    </w:p>
    <w:p>
      <w:r>
        <w:t>Die Beschwerde ist abzuweisen, soweit darauf eingetreten werden kann. Bei diesem Verfahrensausgang sind die Gerichtskosten den Beschwerdeführern (solidarisch, intern je zur Hälfte) zu auferlegen ( Art. 66 Abs. 1 und 5 BGG ). Diese haben dem anwaltlich vertretenen Beschwerdegegner für das bundesgerichtliche Verfahren die Parteikosten zu ersetzen ( Art. 68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