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4A_604/2019 vom 30. April 2020</w:t>
      </w:r>
    </w:p>
    <w:p>
      <w:r>
        <w:t>Bundesgericht, 2020-04-30, FR</w:t>
      </w:r>
    </w:p>
    <w:p>
      <w:r>
        <w:rPr>
          <w:b/>
        </w:rPr>
        <w:t xml:space="preserve">Quelle: </w:t>
      </w:r>
      <w:r>
        <w:t>https://mcp.opencaselaw.ch/entscheid/bger_4A_604_2019</w:t>
      </w:r>
    </w:p>
    <w:p>
      <w:r>
        <w:t>FR: TF 4A_604/2019 du 30 avril 2020</w:t>
      </w:r>
    </w:p>
    <w:p>
      <w:r>
        <w:t>IT: TF 4A_604/2019 del 30 aprile 2020</w:t>
      </w:r>
    </w:p>
    <w:p>
      <w:pPr>
        <w:pStyle w:val="Heading2"/>
      </w:pPr>
      <w:r>
        <w:t>Erwägungen</w:t>
      </w:r>
    </w:p>
    <w:p>
      <w:r>
        <w:rPr>
          <w:b/>
        </w:rPr>
        <w:t>E. 1</w:t>
      </w:r>
    </w:p>
    <w:p>
      <w:r>
        <w:t>Les conclusions du demandeur tendant au versement d'intérêts sont nouvelles aux termes de l' art. 99 al. 2 LTF , et par conséquent irrecevables.</w:t>
      </w:r>
    </w:p>
    <w:p>
      <w:r>
        <w:t>Les conclusions portant sur des billets d'avion sont insuffisamment précises et de plus dépourvues de toute motivation; elles sont ainsi irrecevables au regard de l' art. 42 al. 1 et 2 LTF .</w:t>
      </w:r>
    </w:p>
    <w:p>
      <w:r>
        <w:t>Les conditions de recevabilité du recours en matière civile sont pour le surplus satisfaites, notamment à raison de la valeur litigieuse.</w:t>
      </w:r>
    </w:p>
    <w:p>
      <w:r>
        <w:rPr>
          <w:b/>
        </w:rPr>
        <w:t>E. 2</w:t>
      </w:r>
    </w:p>
    <w:p>
      <w:r>
        <w:t>Il est constant qu'au plus tard dès le transfert du demandeur du Bahreïn à Genève, celui-ci et la défenderesse ont été liés par un contrat de travail aux termes de l'art. 121 de la loi fédérale sur le droit international privé (LDIP). Il n'a pas été allégué ni prouvé que ces parties aient convenu de soumettre cette relation juridique au droit de l'Etat étranger où la défenderesse a son établissement, ainsi que l' art. 121 al. 3 LDIP l'aurait permis. En vertu de l' art. 121 al. 1 LDIP , ladite relation est donc soumise au droit suisse et aux art. 319 et ss CO, à raison de l'Etat où le demandeur accomplissait habituellement son travail.</w:t>
      </w:r>
    </w:p>
    <w:p>
      <w:r>
        <w:rPr>
          <w:b/>
        </w:rPr>
        <w:t>E. 3</w:t>
      </w:r>
    </w:p>
    <w:p>
      <w:r>
        <w:t>Conclu pour une durée indéterminée, le contrat de travail était susceptible d'une résiliation ordinaire avec observation d'un délai de congé, selon l' art. 335c CO , ou d'une résiliation immédiate pour de justes motifs, selon les art. 337 et 337a CO .</w:t>
      </w:r>
    </w:p>
    <w:p>
      <w:r>
        <w:t>L' art. 337 al. 1 CO consacre le droit de résilier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2.2 p. 382).</w:t>
      </w:r>
    </w:p>
    <w:p>
      <w:r>
        <w:t>Le juge apprécie librement, au regard des principes du droit et de l'équité déterminants selon l' art. 4 CC , si le congé abrupt répond à de justes motifs ( art. 337 al. 3 CO ). A cette fin, il prend en considération tous les éléments du cas particulier, notamment la position du travailleur, la nature et la durée des rapports contractuels, et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w:t>
      </w:r>
    </w:p>
    <w:p>
      <w:r>
        <w:rPr>
          <w:b/>
        </w:rPr>
        <w:t>E. 4</w:t>
      </w:r>
    </w:p>
    <w:p>
      <w:r>
        <w:t>La Cour de justice constate en fait que la défenderesse pratique avec son personnel un « système de transfert tous les trois ans », ce par quoi il faut comprendre que les cadres employés hors de Jordanie, Etat du siège de l'entreprise, sont en principe astreints à changer de poste et de lieu de travail à intervalles de trois ans. La Cour constate aussi que le demandeur se savait assujetti à ce régime. Certes, il alléguait avoir convenu avec la défenderesse, à l'époque de son transfert du Bahreïn à Genève, que son emploi dans cette ville serait durable et que le système des transferts ne lui serait donc plus appliqué; cette convention est cependant contestée et selon la Cour, le demandeur échoue à en apporter la preuve. La défenderesse était donc autorisée à exiger le transfert, ce qu'elle a fait au mois d'août 2016. Le demandeur a d'emblée opposé qu'il ne quitterait pas Genève parce que son épouse y est établie. La défenderesse a différé au 16 avril 2017 le transfert d'abord exigé au 1er décembre 2016. A son successeur qui était arrivé à Genève, le demandeur a refusé de remettre les clés des locaux. Il n'a pas réagi aux deux sommations qui lui ont été adressées le 25 avril puis le 22 mai 2017. Il a laissé vacant le poste qui lui était attribué en Jordanie, ce qui a mis les intérêts de la défenderesse en péril. Ce comportement constituait une violation grave du contrat de travail et il rompait le lien de confiance entre les parties; il justifiait par conséquent la rupture abrupte de ce contrat par la défenderesse.</w:t>
      </w:r>
    </w:p>
    <w:p>
      <w:r>
        <w:rPr>
          <w:b/>
        </w:rPr>
        <w:t>E. 5</w:t>
      </w:r>
    </w:p>
    <w:p>
      <w:r>
        <w:t>Cette appréciation de la Cour de justice est viciée en raison de l'importance exagérée qui est attribuée au « système de transfert tous les trois ans ». Même si le transfert est une pratique habituelle dans l'entreprise et qu'il intervient à intervalles à peu près réguliers, le changement de poste et de lieu de travail, avec déménagement dans un autre pays, nécessite de spécifier à chaque fois, dans le contexte juridique et économique du nouveau lieu de travail et de séjour, les nouvelles tâches ou fonctions à assumer et les nouvelles conditions d'activité et de rémunération. Cela ne se conçoit guère sans la conclusion d'un nouveau contrat de travail. En l'occurrence, lors du transfert du Bahreïn à Genève, les parties semblent précisément avoir conclu un nouveau contrat plutôt qu'avoir prolongé leur relation juridique antérieure; cela ressort de ce qu'elles ne mettent pas en doute l'applicabilité du droit suisse dans la présente contestation. La conclusion d'un nouveau contrat liée à un transfert peut bien sûr s'accomplir de manière tacite. Néanmoins, à supposer qu'elle n'advienne pas parce que le travailleur refuse le transfert exigé par l'employeuse, le contrat en cours continue de lier les parties aussi longtemps qu'il n'est pas résilié selon les règles qui lui sont applicables.</w:t>
      </w:r>
    </w:p>
    <w:p>
      <w:r>
        <w:t>Dès le moment où elle pouvait discerner que le transfert de Genève en Jordanie ne s'accomplirait pas d'un commun accord, la défenderesse aurait pu signifier une résiliation ordinaire du contrat de travail, avec observation du délai de congé, selon l' art. 335c CO . Elle aurait pu résilier déjà au mois d'août 2016, le demandeur ayant d'emblée annoncé qu'il ne quitterait pas Genève. Elle a au contraire longuement attendu que le demandeur voulût bien changer d'attitude et se soumettre à sa volonté. Cette stratégie a échoué. Quoique regrettable, le retard qui en est résulté ne pouvait pas justifier le remplacement d'une résiliation ordinaire par une résiliation abrupte. Le comportement du demandeur est critiquable dans la mesure où plutôt que persister dans un refus franc et net, ce plaideur semble avoir exploité ladite stratégie pour différer autant que possible l'issue de la crise. Néanmoins, il n'était pas tenu d'accepter le changement de contrat proposé; c'est pourquoi, en dépit des sommations qui l'ont précédée, la résiliation abrupte signifiée le 7 juin 2017 est invalide au regard de l' art. 337 al. 1 et 2 CO .</w:t>
      </w:r>
    </w:p>
    <w:p>
      <w:r>
        <w:rPr>
          <w:b/>
        </w:rPr>
        <w:t>E. 6</w:t>
      </w:r>
    </w:p>
    <w:p>
      <w:r>
        <w:t>Le demandeur est donc fondé à dénoncer une application incorrecte de ces dispositions légales. En revanche, contrairement à son opinion, il n'est pas fondé à se plaindre d'un congé abusif aux termes de l' art. 336 CO . La résiliation ordinaire que la demanderesse aurait pu signifier déjà au mois d'août 2016 n'aurait pas été abusive. Selon les constatations de la Cour de justice, la défenderesse pratique une politique de transferts réguliers des cadres qu'elle emploie hors de Jordanie, connue dans l'entreprise et précédemment appliquée au demandeur aussi. Cette pratique peut légitimement conduire la défenderesse à combiner une résiliation du contrat de travail en cours avec la proposition d'un nouvel engagement dans un autre poste et dans un autre pays. Le congé n'est pas abusif du seul fait que le transfert perturbe la situation personnelle ou familiale de la personne concernée.</w:t>
      </w:r>
    </w:p>
    <w:p>
      <w:r>
        <w:t>Le travailleur jouit de la liberté contractuelle, laquelle inclut la liberté de ne pas contracter ( ATF 129 III 35 consid. 6.1 p. 42). En raison de cette liberté, refuser de remplacer le contrat en cours par un contrat différent ne peut pas être considéré comme une violation de ce premier contrat. Ce refus est donc inapte à motiver une résiliation abrupte. Le 25 avril et le 22 mai 2017, la défenderesse aurait éventuellement pu ordonner au demandeur de mettre fin à son activité et de remettre son poste à une autre personne; elle se serait alors trouvée en demeure d'accepter son travail selon l' art. 324 al. 1 CO . Elle n'était en revanche pas autorisée à lui ordonner de retourner en Jordanie, même pour y reprendre un autre poste à son service.</w:t>
      </w:r>
    </w:p>
    <w:p>
      <w:r>
        <w:rPr>
          <w:b/>
        </w:rPr>
        <w:t>E. 7</w:t>
      </w:r>
    </w:p>
    <w:p>
      <w:r>
        <w:t>En cas de résiliation immédiate et injustifiée du contrat, l' art. 337c al. 1 CO autorise le travailleur à réclamer ce qu'il aurait gagné si les rapports de travail avaient pris fin à l'expiration du délai de congé.</w:t>
      </w:r>
    </w:p>
    <w:p>
      <w:r>
        <w:t>D'après l' art. 335c al. 1 CO et compte tenu de la durée globale de l'emploi du demandeur au service de la défenderesse (cf. Rémy Wyler et Boris Heinzer, Droit du travail, 4e éd., 2019, p. 636 ch. 2.7.4), celle-ci aurait dû observer un délai de congé de trois mois.</w:t>
      </w:r>
    </w:p>
    <w:p>
      <w:r>
        <w:t>Le demandeur aurait durant ces trois mois gagné le salaire convenu selon l' art. 322 al. 1 CO . La Cour de justice n'a pas constaté ce salaire, de sorte que la cause doit lui être renvoyée en application de l' art. 107 al. 2 LTF . La Cour calculera et allouera le montant dû.</w:t>
      </w:r>
    </w:p>
    <w:p>
      <w:r>
        <w:rPr>
          <w:b/>
        </w:rPr>
        <w:t>E. 8</w:t>
      </w:r>
    </w:p>
    <w:p>
      <w:r>
        <w:t>En cas de résiliation immédiate et injustifiée du contrat, l' art. 337c al. 3 CO autorise en outre le travailleur à réclamer une indemnité dont le juge fixe librement le montant, en tenant compte de toutes les circonstances mais sans excéder six mois de salaire.</w:t>
      </w:r>
    </w:p>
    <w:p>
      <w:r>
        <w:t>L'indemnité est due, en principe, dans tous les cas de licenciement immédiat et injustifié. Une éventuelle exception ne peut se justifier que dans des conditions particulières; il faut à tout le moins que l'employeur n'ait commis aucune faute et que celui-ci ne soit pas non plus responsable en raison d'autres circonstances ( ATF 116 II 300 consid. 5a p. 301; voir aussi ATF 133 III 657 consid. 3.2 p. 660; 121 III 64 consid. 3c p. 68; 120 II 243 consid. 3e p. 247). Le cas échéant, l'indemnité est elle aussi évaluée selon les règles du droit et de l'équité. La gravité de l'atteinte portée aux droits de la personnalité du travailleur est déterminante; d'autres critères tels la durée des rapports de travail, l'âge du lésé, sa situation sociale, une éventuelle faute concomitante et les effets économiques du licenciement entrent aussi en considération ( ATF 123 III 391 consid. 3c p. 394; voir aussi ATF 135 III 405 consid. 3.1 p. 407; 121 III 64 consid. 3c p. 68).</w:t>
      </w:r>
    </w:p>
    <w:p>
      <w:r>
        <w:t>La Cour de justice ayant admis la validité du congé abrupt, elle n'a accompli aucune évaluation selon ces critères. En conséquence, il n'est pas certain qu'elle ait constaté de manière complète l'ensemble des faits à prendre en considération, dans le cadre des allégués des parties et de leurs offres de preuves. La cause lui sera donc renvoyée aussi pour qu'elle complète ses constatations dans la mesure nécessaire. La cour évaluera l'indemnité. Il est en revanche d'emblée exclu que le demandeur puisse se prévaloir d'une situation exceptionnelle et suffisamment grave pour justifier l'allocation d'une indemnité de réparation morale en sus de celle prévue par l' art. 337c al. 3 CO ( ATF 135 III 405 consid. 3.1 i.f. p. 408).</w:t>
      </w:r>
    </w:p>
    <w:p>
      <w:r>
        <w:rPr>
          <w:b/>
        </w:rPr>
        <w:t>E. 9</w:t>
      </w:r>
    </w:p>
    <w:p>
      <w:r>
        <w:t>La Cour de justice se prononcera enfin sur les prétentions de l'intervenante, conformément aux dispositions topiques.</w:t>
      </w:r>
    </w:p>
    <w:p>
      <w:r>
        <w:rPr>
          <w:b/>
        </w:rPr>
        <w:t>E. 10</w:t>
      </w:r>
    </w:p>
    <w:p>
      <w:r>
        <w:t>Le demandeur obtient gain de cause sur un point essentiel de la contestation. Il est néanmoins prévisible qu'au terme du procès, ses conclusions valablement présentées ne lui seront pas allouées dans leur totalité. Il s'ensuit que l'émolument judiciaire et les dépens de l'instance fédérale doivent être répartis entre le demandeur et la défenderesse (art. 66 al. 1 et 68 al. 1 LTF), à raison d'un quart à la charge de celui-là et de trois quarts à la charge de celle-ci. Arrêté à 4'800 fr., l'émolument est donc imputé à hauteur de 1'200 fr. au demandeur et de 3'600 fr. à la défenderesse. La charge des dépens peut être évaluée à 6'000 fr. tant pour le demandeur que pour la défenderesse. Celle-ci doit verser 4'500 fr. et recevoir 1'500 fr.; après compensation, le solde à sa charge s'élève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