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604/2017 vom 30. April 2018</w:t>
      </w:r>
    </w:p>
    <w:p>
      <w:r>
        <w:t>Bundesgericht, 2018-04-30, DE</w:t>
      </w:r>
    </w:p>
    <w:p>
      <w:r>
        <w:rPr>
          <w:b/>
        </w:rPr>
        <w:t xml:space="preserve">Quelle: </w:t>
      </w:r>
      <w:r>
        <w:t>https://mcp.opencaselaw.ch/entscheid/bger_4A_604_2017</w:t>
      </w:r>
    </w:p>
    <w:p>
      <w:r>
        <w:t>FR: TF 4A 604/2017 du 30 avril 2018</w:t>
      </w:r>
    </w:p>
    <w:p>
      <w:r>
        <w:t>IT: TF 4A 604/2017 del 30 aprile 2018</w:t>
      </w:r>
    </w:p>
    <w:p>
      <w:pPr>
        <w:pStyle w:val="Heading2"/>
      </w:pPr>
      <w:r>
        <w:t>Regeste</w:t>
      </w:r>
    </w:p>
    <w:p>
      <w:r>
        <w:t>Sorgfaltspflichtverletzung; Genugtuung | Haftpflichtrecht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30'000.-- ( Art. 74 Abs. 1 lit. b BGG ). Die Rechtsbegehren der Beschwerdeführerin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Die Beschwerdeführerin rügt vorab eine unvollständige, teils offensichtlich unrichtige Feststellung des Sachverhalts sowie eine Verletzung von Art. 317 ZPO .</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Beschwerdeführerin macht geltend, die Vorinstanz habe den Sachverhalt unter Verletzung von Bundesrecht im Sinne von Art. 95 BGG unvollständig festgestellt ( Art. 97 Abs. 1 BGG ), weil sie bei tatsächlichen Ausführungen in der Berufungsantwort betreffend Fachkenntnisse des Beschwerdegegners fälschlicherweise von neuen Sachbehauptungen ausgegangen sei und diese aufgrund der Novenregelung in Art. 317 ZPO in der Folge nicht berücksichtigte. Wenn die Vorinstanz die Haftung des Beschwerdegegners mangels Erkennbarkeit der Gefährdung zu Recht verneinte, ist entgegen der Ansicht der Beschwerdeführerin für den Ausgang des Verfahrens nicht entscheidend (vgl. Art. 97 Abs. 1 BGG ), ob der Beschwerdegegner die Drehschrankbetten ohne Weiteres an der Wand hätte befestigen können. Denn kann dem Beschwerdegegner die fehlende Erkennung der Gefährdung mangels Fixierung der Wandschrankbetten nicht vorgeworfen werden, ist ein Verschulden - unabhängig von allfälligen Fähigkeiten, eine solche Befestigung vorzunehmen - von vornherein ausgeschlossen. Im Übrigen sind die pauschalen Behauptungen, der Beschwerdegegner habe sich selbst als technischen Kaufmann bezeichnet und er habe gegenüber dem Untersuchungsrichter fachkundige Ausführungen zur Sicherheit der Bettenkonstruktion gemacht, nicht genügend substanziiert. Demnach kann der Vorinstanz keine Verletzung von Art. 317 ZPO vorgeworfen werden, wenn sie die entsprechenden Vorbringen ihrem Urteil nicht zugrunde legte.</w:t>
      </w:r>
    </w:p>
    <w:p>
      <w:r>
        <w:rPr>
          <w:b/>
        </w:rPr>
        <w:t>E. 2.3</w:t>
      </w:r>
    </w:p>
    <w:p>
      <w:r>
        <w:t>Die Beschwerdeführerin rügt weiter, dass das gerichtliche Gutachten der Eidgenössischen Materialprüfungs- und Forschungsanstalt (EMPA) von der Vorinstanz nicht genügend bzw. nur auszugsweise berücksichtigt worden sei. Zur Begründung verweist sie auf einige Stellen des Gutachtens, welche ihrer Ansicht nach im vorinstanzlichen Urteil (eingehender) hätten berücksichtigt werden müssen und schliesst, die Sachverhaltsfeststellung durch die Vorinstanz sei in diesen Punkten unvollständig. Die Beschwerdeführerin beschränkt sich darauf, dem Ergebnis der vorinstanzlichen Beweiswürdigung und damit der Feststellung des Sachverhalts ihre eigene Würdigung der Beweise gegenüberzustellen. Sie unterlässt es aufzuzeigen, inwiefern die Vorinstanz hierbei in Willkür verfallen sein soll, weshalb sie die an eine rechtsgenügliche Sachverhaltsrüge gestellten Anforderungen nicht erfüllt. Dass die von Sachgerichten gezogenen Schlüsse nicht mit der eigenen Darstellung übereinstimmen, belegt jedenfalls keine Willkür ( BGE 140 III 264 E. 2.3 S. 266; 137 III 226 E. 4.2 S. 234; 136 III 552 E. 4.2).</w:t>
      </w:r>
    </w:p>
    <w:p>
      <w:r>
        <w:rPr>
          <w:b/>
        </w:rPr>
        <w:t>E. 3</w:t>
      </w:r>
    </w:p>
    <w:p>
      <w:r>
        <w:t>In rechtlicher Hinsicht rügt die Beschwerdeführerin, die Vorinstanz habe Art. 41 OR verletzt, indem sie das Verschulden des Beschwerdegegners und damit ihren Anspruch auf Genugtuung nach Art. 47 OR verneinte.</w:t>
      </w:r>
    </w:p>
    <w:p>
      <w:r>
        <w:rPr>
          <w:b/>
        </w:rPr>
        <w:t>E. 3.1</w:t>
      </w:r>
    </w:p>
    <w:p>
      <w:r>
        <w:t>Nach Art. 47 OR kann das Gericht bei Körperverletzung der Verletzten unter Würdigung der besonderen Umstände eine angemessene Geldsumme als Genugtuung zusprechen. Wer Genugtuung beansprucht, hat neben der immateriellen Unbill im Sinne von Art. 47 OR die widerrechtliche Handlung bzw. Unterlassung trotz Handlungspflicht, den Kausalzusammenhang sowie das Verschulden nach Art. 41 Abs. 1 OR zu beweisen (vgl. zur immateriellen Unbill BGE 141 III 97 E. 11.2 mit Hinweisen; vgl. zu den übrigen Voraussetzungen BGE 137 III 539 E. 5.2 S. 544; 132 III 122 E. 4.1 S. 130). Verschulden setzt voraus, dass der Schädiger die mögliche Verursachung einer Schädigung einer Dritten durch sein Verhalten bzw. seine Unterlassung erkennt oder erkennen kann. Die Berücksichtigung der möglichen Schädigung einer Dritten stellt die Erfüllung der Sorgfaltspflicht dar, die dem Fahrlässigkeitsbegriff zugrundeliegt (OFTINGER/STARK, Schweizerisches Haftpflichtrecht, Erster Band: Allgemeiner Teil, 5. Aufl. 1995, § 5 Rz. 50). Sorgfaltswidrig verhält sich insbesondere, wer einen gefährlichen Zustand schafft oder unterhält, ohne die zur Vermeidung eines Schadens erforderlichen Schutzmassnahmen zu ergreifen (vgl. zum Gefahrensatz BGE 134 IV 193 E. 7.2, 255 E. 4.2.2; 126 III 113 E. 2a; je mit Hinweisen). Die Sorgfaltswidrigkeit ergibt sich aus dem Vergleich des tatsächlichen Verhaltens des Schädigers mit dem hypothetischen Verhalten eines durchschnittlich sorgfältigen Menschen in der Situation des Schädigers ( BGE 137 III 539 E. 5.2 S. 544 mit Hinweisen). Jede negative Abweichung von diesem geforderten Durchschnittsverhalten gilt als sorgfaltswidrig und damit als fahrlässig ( BGE 116 Ia 162 E. 2c S. 169 f.; vgl. dazu auch REY/WILDHABER, Ausservertragliches Haftpflichtrecht, 5. Aufl. 2018, S. 172 Rz. 1003 mit zahlreichen Hinweisen). Allerdings ist dieser objektivierte Sorgfaltsmassstab nicht starr für alle Schädiger gleich zu handhaben. Subjektive Umstände werden insofern in die Betrachtung einbezogen, als das Alter des Schädigers, sein Beruf und seine Erfahrung zu berücksichtigen sind (REY/WILDHABER, a.a.O, S. 173 Rz. 1006). Die Anforderungen an die Sorgfaltspflicht richten sich im Übrigen nach der Art, Wichtigkeit und Gefährlichkeit einer Tätigkeit (REY/WILDHABER, a.a.O, S. 173 Rz. 1007).</w:t>
      </w:r>
    </w:p>
    <w:p>
      <w:r>
        <w:rPr>
          <w:b/>
        </w:rPr>
        <w:t>E. 3.2</w:t>
      </w:r>
    </w:p>
    <w:p>
      <w:r>
        <w:t>Nach den Erwägungen der Vorinstanz ist bei der Beurteilung des Verhaltens des Beschwerdegegners der Sorgfaltsmassstab eines durchschnittlich sorgfältigen Verbrauchers anzuwenden, da dem Beschwerdegegner keine speziellen Kenntnisse oder gar Fachwissen betreffend Drehschrankbetten zukämen. Unter Verweis auf die beiden eingeholten Gutachten hielt die Vorinstanz sodann fest, dass die Betten ohne Fremdeinwirkung praktisch nicht hätten umkippen können, wenn der Bettfuss richtig aufgestellt und seine Position bis zum Kippvorgang nicht verändert worden wäre. Namentlich habe gemäss dem Gutachten der EMPA ein Durchschnittskonsument intuitiv davon ausgehen können, die grösste Kippgefahr entstehe beim Ausklappen der Liegefläche. Eine erhöhte Kippgefahr durch den schrägen Bettfuss sei erst nach einer einem Durchschnittskonsumenten kaum zumutbaren detaillierten Stabilitätsanalyse erkennbar gewesen. Im Gutachten des wissenschaftlichen Dienstes der Stadtpolizei Zürich sei diese Gefahr erst gar nicht erkannt worden. Die Vorinstanz schloss, von einem durchschnittlich sorgfältigen Menschen in der Situation des Beschwerdegegners könne nicht verlangt werden, er hätte sich eingehender mit der Konstruktion der Betten auseinandersetzen und die Gefährdung der fehlenden Wandbefestigung erkennen müssen.</w:t>
      </w:r>
    </w:p>
    <w:p>
      <w:r>
        <w:rPr>
          <w:b/>
        </w:rPr>
        <w:t>E. 3.3</w:t>
      </w:r>
    </w:p>
    <w:p>
      <w:r>
        <w:t>Die Beschwerdeführerin rügt, die Vorinstanz habe den Beschwerdegegner unzutreffend als Durchschnittskonsumenten betrachtet. Sie verweist in diesem Zusammenhang auf die im Parallelverfahren vom Obergericht des Kantons Zürich verwendete Definition des fachmännischen Nutzers (vgl. dazu 4A_68/2017 vom 14. Juli 2017 E. 2.3) und erläutert, hierunter falle eine Person, die das Bett übernimmt, zusammenbaut, aufstellt und dann darin schläft. Der Beschwerdegegner erfülle diese Anforderungen, da er das Bett übernommen, zusammengebaut und im Sommer 2005 aufgestellt habe. Die Argumentation der Beschwerdeführerin verfängt nicht. So gesteht sie selbst ein, dass der Beschwerdegegner weder in den Betten geschlafen noch diese vor dem fraglichen Kollaps montiert hatte, sondern lediglich provisorisch im Sommer 2005. Im Dezember 2006 wurden die Drehschrankbetten vielmehr vom Sohn des Beschwerdegegners und dessen Freund aufgestellt, getestet und für sicher befunden, bevor die Gäste darin übernachteten. Die Vorinstanz betrachtete den Beschwerdegegner demnach zutreffend nicht als fachmännischen Nutzer. Dass der Sohn des Beschwerdegegners und dessen Freund in den Parallelverfahren mit einer anderen Begründung ebenfalls nicht als fachmännische Nutzer qualifiziert wurden, ändert - entgegen entsprechenden Vorbringen der Beschwerdeführerin - hieran nichts.</w:t>
      </w:r>
    </w:p>
    <w:p>
      <w:r>
        <w:rPr>
          <w:b/>
        </w:rPr>
        <w:t>E. 3.4</w:t>
      </w:r>
    </w:p>
    <w:p>
      <w:r>
        <w:t>Im Übrigen vermag die Beschwerdeführerin mit ihren Vorbringen nicht aufzuzeigen, inwieweit die Gefahr der fehlenden Wandbefestigung der Schrankbetten vom Beschwerdegegner hätte erkannt werden müssen, wenn ihm weder Fachwissen noch spezielle Kenntnisse zukommen. Vielmehr schloss die Vorinstanz unter Verweis auf entsprechende gutachterliche Feststellungen zu Recht, von einem durchschnittlich sorgfältigen Verbraucher in der konkreten Position des Beschwerdegegners könne trotz einiger Lebenserfahrung nicht verlangt werden, er hätte die Gefahr der fehlenden Wandbefestigung der Drehschrankbetten erkennen müssen. Die Vorinstanz ging ferner zutreffend davon aus, dass weder das Wissen um die Fixierung beim Voreigentümer noch das Bestehen einer unverbindlichen technischen Norm bezüglich der Wandbefestigung von Drehschrankbetten zu einer anderen Schlussfolgerung führen können. Jedenfalls ist der Vorinstanz keine Verletzung von Bundesrecht vorzuwerfen, wenn sie die fragliche, an den Hersteller gerichtete und dem Beschwerdegegner denn auch unbestrittenermassen unbekannte technische Norm nicht als Wiedergabe ohnehin zu beachtender elementarer Sicherheitsüberlegungen betrachtete. Hinzu kommt nämlich, dass der Sohn des Beschwerdegegners und dessen Freund die nicht an der Wand befestigten Betten gemeinsam aufgestellt und getestet hatten, ohne dass etwas vorgefallen wäre. Selbst wenn dem Beschwerdegegner dieser Umstand nicht bekannt gewesen sein sollte - wie die Beschwerdeführerin einwendet - zeugt er davon, dass die Gefährdung durch die fehlende Wandbefestigung von einem nicht fachmännischen Nutzer kaum erkannt werden konnte.</w:t>
      </w:r>
    </w:p>
    <w:p>
      <w:r>
        <w:rPr>
          <w:b/>
        </w:rPr>
        <w:t>E. 3.5</w:t>
      </w:r>
    </w:p>
    <w:p>
      <w:r>
        <w:t>Die Beschwerdeführerin rügt ferner, die Vorinstanz habe zu Unrecht ein Übernahmeverschulden des Beschwerdegegners verneint, weil sie fälschlicherweise die geringen Anforderungen der eigenüblichen Sorgfalt an das Verhalten des Beschwerdegegners gestellt habe. Die Beschwerdeführerin gesteht in diesem Zusammenhang zwar ein, dass gemäss Rechtsprechung bei Gefälligkeitshandlungen lediglich eigenübliche Sorgfalt verlangt wird, hält indessen dafür, der eingeschränkte Sorgfaltsmassstab sei bei der Prüfung der Erkennbarkeit als ethisch und juristisch neutrale Wissensebene nicht einschlägig, sondern nur auf der Willensebene. Die Beschwerdeführerin verkennt, dass sich die Vorinstanz an diese Vorgaben hielt, wandte sie doch bei der Prüfung der Erkennbarkeit der Gefährdung den objektivierten Sorgfaltsmassstab eines Durchschnittskonsumenten in der Situation des Beschwerdegegners an und bezog sich nur bei der Willensebene auf die bei Gefälligkeiten aufzubringende eigenübliche Sorgfalt (vgl. zu dieser sog. diligentia quam in suis BGE 137 III 539 E. 5.2 S. 545 mit Hinweis). Da ein Verschulden von vornherein ausgeschlossen ist, wenn die sich aus einem Verhalten verwirklichte Gefahr nicht erkennbar war, hätte die Vorinstanz im Übrigen darauf verzichten können, die Willensebene ebenfalls zu prüfen.</w:t>
      </w:r>
    </w:p>
    <w:p>
      <w:r>
        <w:rPr>
          <w:b/>
        </w:rPr>
        <w:t>E. 3.6</w:t>
      </w:r>
    </w:p>
    <w:p>
      <w:r>
        <w:t>Insoweit die Beschwerdeführerin schliesslich rügt, die Vorinstanz habe Art. 55 OR verletzt, weil sie den Beschwerdegegner nicht als Geschäftsherrn seines Sohnes und dessen Freundes betrachtete, kann ihr nicht gefolgt werden. Einerseits vermag sie mit ihren zu wenig konkreten Ausführungen nicht aufzuzeigen, inwiefern der Sohn des Beschwerdegegners und dessen Freund aufgrund eines Subordinationsverhältnisses Hilfspersonen des Beschwerdegegners darstellen sollten. Andererseits behauptet die Beschwerdeführerin selbst nicht, dass die Drehschrankbetten im Rahmen einer dienstlichen oder geschäftlichen Verrichtung im Sinne von Art. 55 OR aufgestellt worden seien.</w:t>
      </w:r>
    </w:p>
    <w:p>
      <w:r>
        <w:rPr>
          <w:b/>
        </w:rPr>
        <w:t>E. 3.7</w:t>
      </w:r>
    </w:p>
    <w:p>
      <w:r>
        <w:t>Da der Beschwerdegegner weder kausal als Geschäftsherr haftet noch ihm vorgeworfen werden kann, er hätte die Kippgefahr erkennen müssen, hat er nicht für die Folgen des Kollapses der Drehschrankbetten - seien sie auch noch so tragisch - einzustehen. Demnach wies die Vorinstanz den geltend gemachten Anspruch auf Genugtuung (Art. 47 i.V.m. Art. 41 OR ) zu Recht ab.</w:t>
      </w:r>
    </w:p>
    <w:p>
      <w:r>
        <w:rPr>
          <w:b/>
        </w:rPr>
        <w:t>E. 4</w:t>
      </w:r>
    </w:p>
    <w:p>
      <w:r>
        <w:t>Die Beschwerde ist abzuweisen, soweit darauf eingetreten werden kann. Dem Ausgang des Verfahrens entsprechend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