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4A_602/2023 vom 26. Januar 2024</w:t>
      </w:r>
    </w:p>
    <w:p>
      <w:r>
        <w:t>Bundesgericht, 2024-01-26, DE</w:t>
      </w:r>
    </w:p>
    <w:p>
      <w:r>
        <w:rPr>
          <w:b/>
        </w:rPr>
        <w:t xml:space="preserve">Quelle: </w:t>
      </w:r>
      <w:r>
        <w:t>https://mcp.opencaselaw.ch/entscheid/bger_4A_602_2023</w:t>
      </w:r>
    </w:p>
    <w:p>
      <w:r>
        <w:t>FR: TF 4A_602/2023 du 26 janvier 2024</w:t>
      </w:r>
    </w:p>
    <w:p>
      <w:r>
        <w:t>IT: TF 4A_602/2023 del 26 gennaio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Die Beschwerde betrifft eine Zivilsache ( Art. 72 BGG ) und richtet sich gegen den Endentscheid ( Art. 90 BGG ) des Handelsgerichts, das in Anwendung von Art. 5 Abs. 1 lit. a ZPO als einzige kantonale Instanz entschieden hat ( Art. 75 Abs. 2 lit. a BGG ). Die Beschwerdeführerin ist mit ihren Anträgen unterlegen ( Art. 76 Abs. 1 BGG ), ein Streitwert ist nicht verlangt ( Art. 74 Abs. 2 lit. b BGG ) und die Beschwerdefrist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rügt, die Vorinstanz habe zu Unrecht wegen fehlender Gebrauchsabsicht eine rechtsmissbräuchliche Markenhinterlegung bejaht und damit Art. 5, Art. 11 Abs. 3 und Art. 12 MSchG sowie Art. 8 ZGB verletzt. Die Erwägung, wonach die Parteien keine einfache Gesellschaft gebildet haben, ficht die Beschwerdeführerin hingegen ausdrücklich nicht mehr an.</w:t>
      </w:r>
    </w:p>
    <w:p>
      <w:r>
        <w:rPr>
          <w:b/>
        </w:rPr>
        <w:t>E. 2.1</w:t>
      </w:r>
    </w:p>
    <w:p>
      <w:r>
        <w:t>Nach bundesgerichtlicher Rechtsprechung kann für registrierte Marken kein Schutz beansprucht werden, wenn diese nicht zum Zwecke des Gebrauchs hinterlegt worden sind, sondern in der Absicht, die Eintragung entsprechender Zeichen durch Dritte zu verhindern, den Schutzumfang tatsächlich gebrauchter Marken zu vergrössern ( BGE 127 III 160 E. 1a mit Hinweis) oder vom bisherigen Benutzer finanzielle oder andere Vorteile zu erlangen. Das Fehlen einer Gebrauchsabsicht hat die Nichtigkeit der eingetragenen Marke zur Folge ( BGE 127 III 160 E. 1a; Urteile 4A_227/2022 vom 8. September 2022 E. 3.1; 4A_181/2019 vom 27. August 2019 E. 2.1; 4A_234/2018 vom 28. November 2018 E. 2.1). Die Unzulässigkeit solcher ohne Gebrauchsabsicht und damit missbräuchlich eingetragener Marken stellt neben der Nichtaufnahme des Gebrauchs ( Art. 12 Abs. 1 MSchG ) einen eigenständigen Tatbestand für den Verlust des Markenrechts dar, und der jeweilige Inhaber der Marke kann sich nicht auf die Benutzungsschonfrist berufen (Urteile 4A_227/2022, a.a.O., E. 3.1; 4A_181/2019, a.a.O., E. 2.1; 4A_234/2018, a.a.O., E. 2.1).</w:t>
      </w:r>
    </w:p>
    <w:p>
      <w:r>
        <w:t>Ausgehend von der gesetzlichen Grundregel, dass derjenige eine Tatsache zu beweisen hat, der aus ihr Rechte ableitet ( Art. 8 ZGB ), trägt grundsätzlich diejenige Partei die Beweislast für die fehlende Gebrauchsabsicht, die sich auf diesen Nichtigkeitsgrund beruft (vgl. BGE 127 III 160 E. 1a). Dabei ist jedoch zu beachten, dass es sich bei der fehlenden Gebrauchsabsicht um eine negative und überdies innere Tatsache handelt, die kaum positiv bewiesen werden kann. Es ist daher anzunehmen, dass im Rahmen der Mitwirkungspflicht von der Gegenseite verlangt werden darf, dass sie die Gründe dokumentiert oder zumindest behauptet, wieso die Hinterlegung in ihrem konkreten Fall trotz der Ungereimtheiten, welche die Klägerseite dargetan hat, Teil einer auf Fairness beruhenden Markenstrategie bildet. Erscheint dem Richter diese Erklärung als unglaubwürdig, so muss der abstrakte Nachweis der typischerweise defensiven Konstellation im Rahmen der Gesamtwürdigung genügen (Urteile 4A_227/2022, a.a.O., E. 3.1; 4A_181/2019, a.a.O., E. 2.1; 4A_234/2018, a.a.O., E. 2.1).</w:t>
      </w:r>
    </w:p>
    <w:p>
      <w:r>
        <w:rPr>
          <w:b/>
        </w:rPr>
        <w:t>E. 2.2</w:t>
      </w:r>
    </w:p>
    <w:p>
      <w:r>
        <w:t>Die Beschwerdeführerin vermag nicht aufzuzeigen, inwiefern die Vorinstanz diese Grundsätze verletzt hätte, indem sie erwog, die Marke "E.________" sei nicht zum Zwecke des Gebrauchs hinterlegt worden, sondern in der Absicht, von der Beschwerdegegnerin finanzielle Vorteile zu erlangen, weshalb sie nach Art. 52 MSchG als nichtig zu erklären sei. Die Vorinstanz ging aufgrund der Korrespondenz zwischen den Parteien davon aus, dass die Beschwerdeführerin darum wusste, dass die Beschwerdegegnerin die Marke hinterlegen wollte. Nach erfolgter Eintragung habe sie von der Beschwerdegegnerin Ende 2020 sukzessiv erhöhte Geldbeträge für die Übertragung der Marke verlangt. Inwiefern sie die Marke "E.________" selber hätte gebrauchen wollen, legte die Beschwerdeführerin im vorinstanzlichen Verfahren nicht dar. Die Vorinstanz hat angesichts der festgestellten Indizien bundesrechtskonform erwogen, die Markeneintragung sei ohne Gebrauchsabsicht und damit missbräuchlich erfolgt. Dabei hat sie hinreichend begründet, weshalb sie von einer missbräuchlichen Hinterlegung ausging, womit sich der in der Beschwerde erhobene Vorwurf der Verletzung der Begründungspflicht ( Art. 29 Abs. 2 BV ) als unbegründet erweist. Ins Leere zielt auch der Einwand, die Vorinstanz habe ihr zu Unrecht die qualifizierte Bestreitungslast auferlegt und damit Art. 8 ZGB verletzt. Vielmehr durfte von der Beschwerdeführerin im Rahmen ihrer Mitwirkungspflicht verlangt werden, dass sie die Gründe dokumentiert oder zumindest behauptet, weshalb die erfolgte Hinterlegung trotz der von der Beschwerdegegnerin dargelegten Ungereimtheiten Teil einer auf Fairness beruhenden Markenstrategie bildete. Dies tat sie jedoch nicht.</w:t>
      </w:r>
    </w:p>
    <w:p>
      <w:r>
        <w:t>Die Beschwerdeführerin bestätigt im Übrigen vor Bundesgericht selber, die streitbetroffene Marke nie zum eigenen Gebrauch hinterlegt zu haben, sondern einzig mit der Absicht, diese auf die Beschwerdegegnerin zu übertragen. Die Vorinstanz hat darin zu Recht keinen legitimen stellvertretenden Gebrauch im Sinne von Art. 11 Abs. 3 MSchG erblickt, der eine missbräuchliche Eintragung ausschliessen würde. Der Einwand der Verletzung der Begründungspflicht bzw. des rechtlichen Gehörs zielt ebenso ins Leere wie derjenige der aktenwidrigen, offensichtlich unrichtigen bzw. willkürlichen Sachverhaltsfeststellung.</w:t>
      </w:r>
    </w:p>
    <w:p>
      <w:r>
        <w:t>Inwiefern der ins Feld geführte Umstand, dass die Beschwerdeführerin erst knapp drei Monate nach der Hinterlegung erstmals eine Entschädigung für die Markenübertragung forderte, zur Zulässigkeit der erfolgten Markeneintragung führen soll, leuchtet nicht ein. Indem die Beschwerdeführerin dem Bundesgericht unter Hinweis auf verschiedene Aktenstücke des kantonalen Verfahrens ihre eigene Sicht zu ihren Beweggründen wie auch zu den Hintergründen der geforderten Entschädigungen unterbreitet und gestützt darauf bestreitet, mit der Markenhinterlegung einzig finanzielle Interessen verfolgt zu haben, verfehlt sie die gesetzlichen Begründungsanforderungen an hinreichende Sachverhaltsrügen. Der pauschal erhobene Vorwurf der Verletzung der Begründungspflicht ( Art. 29 Abs. 2 BV ), der aktenwidrigen bzw. willkürlichen Sachverhaltsfeststellung sowie der einseitigen Beweiswürdigung zielt auch in diesem Zusammenhang ins Leere.</w:t>
      </w:r>
    </w:p>
    <w:p>
      <w:r>
        <w:rPr>
          <w:b/>
        </w:rPr>
        <w:t>E. 2.3</w:t>
      </w:r>
    </w:p>
    <w:p>
      <w:r>
        <w:t>Insgesamt ist der Vorinstanz keine Bundesrechtsverletzung vorzuwerfen, indem sie angesichts der von ihr festgestellten Indizien erwog, die Hinterlegung der Marke "E.________" sei ohne Gebrauchsabsicht und damit missbräuchlich erfolgt, weshalb sie gestützt auf Art. 52 MSchG als nichtig zu erklären sei.</w:t>
      </w:r>
    </w:p>
    <w:p>
      <w:r>
        <w:rPr>
          <w:b/>
        </w:rPr>
        <w:t>E. 3</w:t>
      </w:r>
    </w:p>
    <w:p>
      <w:r>
        <w:t>Die Beschwerde ist abzuweisen, soweit darauf eingetreten werden kann. Dem Ausgang des Verfahrens entsprechend wird die Beschwerdeführerin kostenpflichtig ( Art. 66 Abs. 1 BGG ). Der Beschwerdegegnerin, die sich nur zum Gesuch um Gewährung der aufschiebenden Wirkung zu äussern hatte, ist für das bundesgerichtliche Verfahren eine reduzierte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