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4A_602/2013 vom 27. März 2014</w:t>
      </w:r>
    </w:p>
    <w:p>
      <w:r>
        <w:t>Bundesgericht, 2014-03-27, FR</w:t>
      </w:r>
    </w:p>
    <w:p>
      <w:r>
        <w:rPr>
          <w:b/>
        </w:rPr>
        <w:t xml:space="preserve">Quelle: </w:t>
      </w:r>
      <w:r>
        <w:t>https://mcp.opencaselaw.ch/entscheid/bger_4A_602_2013</w:t>
      </w:r>
    </w:p>
    <w:p>
      <w:r>
        <w:t>FR: TF 4A_602/2013 du 27 mars 2014</w:t>
      </w:r>
    </w:p>
    <w:p>
      <w:r>
        <w:t>IT: TF 4A_602/2013 del 27 marzo 2014</w:t>
      </w:r>
    </w:p>
    <w:p>
      <w:pPr>
        <w:pStyle w:val="Heading2"/>
      </w:pPr>
      <w:r>
        <w:t>Erwägungen</w:t>
      </w:r>
    </w:p>
    <w:p>
      <w:r>
        <w:rPr>
          <w:b/>
        </w:rPr>
        <w:t>E. 1.1</w:t>
      </w:r>
    </w:p>
    <w:p>
      <w:r>
        <w:t>Interjeté par la partie qui a succombé dans ses conclusions libératoires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15'000 fr. requis en matière de droit du travail ( art. 74 al. 1 let. a LTF ), le recours est recevable, puisqu'il a été déposé dans le délai ( art. 100 al. 1 LTF ) et la forme ( art. 42 LTF ) prévus par la loi.</w:t>
      </w:r>
    </w:p>
    <w:p>
      <w:r>
        <w:rPr>
          <w:b/>
        </w:rPr>
        <w:t>E. 1.2</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rPr>
          <w:b/>
        </w:rPr>
        <w:t>E. 1.3</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et l'établissement des faits doit motiver son grief d'une manière qui réponde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2</w:t>
      </w:r>
    </w:p>
    <w:p>
      <w:r>
        <w:t>Dans une motivation quelque peu confuse, la recourante met en cause la manière dont les faits ont été retenus par l'autorité cantonale en ce qui concerne la fin des rapports contractuels qui la liaient à l'intimée, l'activité de T.________ SA et les procédures pénales diligentées contre l'intimée. Cependant, la recourante soutient, dans sa motivation en droit, principalement qu'il n'existait pas de contrat de travail entre les parties, subsidiairement que les circonstances de la fin des rapports de travail ont été mal déterminées et appréciées par l'instance précédente. Ces motifs sont partiellement contradictoires du moment que si l'existence d'un contrat de travail devait être niée, les faits dont la constatation est remise en cause par la recourante, à l'exception de l'activité de T.________ SA, ne seraient pas susceptibles d'influer sur le sort de la cause ( art. 97 al. 1 LTF ). C'est pourquoi, il y a lieu d'examiner en priorité le moyen tiré de l'inexistence prétendue d'un contrat de travail ayant lié les parties.</w:t>
      </w:r>
    </w:p>
    <w:p>
      <w:r>
        <w:rPr>
          <w:b/>
        </w:rPr>
        <w:t>E. 3.1</w:t>
      </w:r>
    </w:p>
    <w:p>
      <w:r>
        <w:t>La qualification juridique d'un contrat est une question de droit ( ATF 131 III 217 consid. 3 p. 219). Le juge détermine librement la nature de la convention d'après l'aménagement objectif de la relation contractuelle (objektive Vertragsgestaltung), sans être lié par la qualification même concordante donnée par les parties ( ATF 84 II 493 consid. 2; arrêt 4A_194/2011 du 5 juillet 2011 consid. 5.3, résumé in Jdt 2012 II 198). La dénomination d'un contrat n'est pas déterminante pour évaluer sa nature juridique ( art. 18 al. 1 CO ; ATF 129 III 664 consid. 3.1).</w:t>
      </w:r>
    </w:p>
    <w:p>
      <w:r>
        <w:rPr>
          <w:b/>
        </w:rPr>
        <w:t>E. 3.2</w:t>
      </w:r>
    </w:p>
    <w:p>
      <w:r>
        <w:t>A teneur de l' art. 319 al. 1 CO , par le contrat individuel de travail, le travailleur s'engage, pour une durée déterminée ou indéterminée, à travailler au service de l'employeur et celui-ci à payer un salaire fixé d'après le temps ou le travail fourni. La conclusion du contrat de travail est marquée par l'absence de formalisme; ce dernier, conformément à l' art. 320 al. 2 CO , peut en conséquence être réputé conclu lorsque l'employeur accepte pour un temps donné l'exécution d'un travail qui, d'après les circonstances, ne doit être fourni que contre un salaire.</w:t>
      </w:r>
    </w:p>
    <w:p>
      <w:r>
        <w:t>Le lien de subordination constitue le critère distinctif essentiel ( ATF 125 III 78 consid. 4; ADRIAN STAEHELIN, Zürcher Kommentar, 4e éd. 2006, n° 26 ad art. 319 CO ). Le travailleur est placé dans la dépendance de l'employeur sous l'angle personnel, fonctionnel, temporel, et dans une certaine mesure économique ( ATF 121 I 259 consid. 3a p. 262). Le travailleur est assujetti à la surveillance, aux ordres et instructions de l'employeur; il est intégré dans l'organisation de travail d'autrui et y reçoit une place déterminée (arrêt 4A_194/2011 du 5 juillet 2011 déjà cité consid. 5.6.1; STAEHELIN, op. cit., n° 27 s. ad art. 319 CO ).</w:t>
      </w:r>
    </w:p>
    <w:p>
      <w:r>
        <w:t>Le critère de la subordination doit toutefois être relativisé en ce qui concerne les personnes exerçant des professions typiquement libérales ou ayant des fonctions dirigeantes. L'indépendance de l'employé est alors beaucoup plus grande et la subordination est alors essentiellement organisationnelle ( RÉMY WYLER, Droit du travail, 2e éd. 2008, p. 58). Dans un tel cas, plaident notamment en faveur du contrat de travail la rémunération fixe ou périodique, la mise à disposition d'une place de travail et des outils de travail, ainsi que la prise en charge par l'employeur du risque de l'entreprise ( STAEHELIN, op. cit., n° 33 ad art. 319 CO ; cf. aussi REHBINDER/STÖCKLI, in Berner Kommentar, 3e éd. 2010, n° 44 ad art. 319 CO ); le travailleur renonce à participer au marché comme entrepreneur assumant le risque économique et abandonne à un tiers l'exploitation de sa prestation, en contrepartie d'un revenu assuré ( REHBINDER/STÖCKLI, op. cit., n° 64 ad art. 319 CO ).</w:t>
      </w:r>
    </w:p>
    <w:p>
      <w:r>
        <w:t>D'autres indices peuvent également militer en faveur du contrat de travail: il s'agit du prélèvement de cotisations sociales sur la rémunération due ou la qualification d'activité lucrative dépendante par les autorités fiscales ou les assurances sociales.</w:t>
      </w:r>
    </w:p>
    <w:p>
      <w:r>
        <w:rPr>
          <w:b/>
        </w:rPr>
        <w:t>E. 3.3</w:t>
      </w:r>
    </w:p>
    <w:p>
      <w:r>
        <w:t>En l'espèce, la cour cantonale a considéré que les parties étaient liées par un contrat de travail. Pour ce faire, elle s'est fondée sur divers éléments. En premier lieu, elle a pris en considération un certificat de salaire destiné au fisc pour l'année 1999 d'où il apparaît que l'intimée a reçu de la recourante un salaire du 1er janvier au 31 décembre 1999. Elle a retenu que ce fait était confirmé par un rapport de l'administrateur de la recourante d'août 2000. Elle a admis que cette situation a perduré jusqu'à fin novembre 2004, faute d'allégués et de démonstration contraires de la part de la défenderesse.</w:t>
      </w:r>
    </w:p>
    <w:p>
      <w:r>
        <w:t>En ce qui concerne le mandat concédé à T.________ SA pour l'année 2004, les juges précédents ont retenu que des pièces comptables démontraient qu'il n'avait pas été réellement exécuté. De plus, ils ont constaté que l'extrait de compte de la recourante auprès de la caisse de compensation indiquait le versement par elle de cotisations aux assurances sociales en qualité d'employeur pour l'intimée, avant comme après l'accession de cette dernière au conseil d'administration de X.________ SA. Enfin, ces magistrats ont mentionné que l'administrateur actuel de la recourante, rompu aux affaires, avait désigné par « contrat de travail » les relations entre les parties à l'occasion des résiliations signifiées en 2002, 2003 et 2004.</w:t>
      </w:r>
    </w:p>
    <w:p>
      <w:r>
        <w:rPr>
          <w:b/>
        </w:rPr>
        <w:t>E. 3.4</w:t>
      </w:r>
    </w:p>
    <w:p>
      <w:r>
        <w:t>La recourante soutient que l'existence d'un contrat de travail devrait être niée tout d'abord du simple fait de l'accession de l'intimée au conseil d'administration, laquelle aurait rompu tout lien de subordination entre employeur et employée. Au regard des principes rappelés plus haut à propos de la subordination essentiellement organisationnelle des hauts cadres, cette critique est manifestement mal fondée.</w:t>
      </w:r>
    </w:p>
    <w:p>
      <w:r>
        <w:t>En second lieu, la recourante semble vouloir tirer parti d'éléments d'ordre comptable concernant T.________ SA pour remettre en cause les constatations susmentionnées de la cour cantonale. Sa motivation est partiellement hors de propos dès lors qu'elle concerne une période postérieure à la résiliation immédiate des rapports de travail du 3 décembre 2004. Par ailleurs, la recourante allègue que le bail à ferme conclu entre X.________ SA et T.________ SA a été inscrit au registre foncier. On cherche cependant vainement en quoi ce fait pourrait battre en brèche la constatation que ce contrat n'a pas été exécuté. Le moyen doit être rejeté dans la très faible mesure de sa recevabilité.</w:t>
      </w:r>
    </w:p>
    <w:p>
      <w:r>
        <w:t>Il suit de là que l'appréciation des magistrats genevois sur l'existence d'un contrat de travail ayant lié les parties est conforme au droit.</w:t>
      </w:r>
    </w:p>
    <w:p>
      <w:r>
        <w:rPr>
          <w:b/>
        </w:rPr>
        <w:t>E. 4.1</w:t>
      </w:r>
    </w:p>
    <w:p>
      <w:r>
        <w:t>La recourante soutient ensuite que les relations de travail entre les parties auraient été valablement résiliées le 14 novembre 2003, puis encore le 20 septembre 2004 pour l'échéance du 30 novembre 2004. Elle affirme que l'intimée aurait admis la première résiliation ordinaire par actes concluants, de sorte qu'elle n'aurait plus de prétentions à faire valoir contre son adverse partie, une rémunération lui ayant été versée jusqu'à l'échéance du délai de résiliation, soit le 31 janvier 2004. De toute manière, les éventuels droits de l'intimée découlant d'un contrat de travail ne pourraient s'étendre au-delà du 30 novembre 2004, terme pour lequel son contrat a pris fin à la suite de la seconde résiliation ordinaire du 20 septembre 2004.</w:t>
      </w:r>
    </w:p>
    <w:p>
      <w:r>
        <w:rPr>
          <w:b/>
        </w:rPr>
        <w:t>E. 4.2</w:t>
      </w:r>
    </w:p>
    <w:p>
      <w:r>
        <w:t>L'autorité cantonale a constaté en fait ( art. 105 al. 1 LTF ) que l'intimée avait travaillé au service de la recourante jusqu'au 3 décembre 2004. Celle-ci n'a pas taxé cette constatation d'arbitraire.</w:t>
      </w:r>
    </w:p>
    <w:p>
      <w:r>
        <w:t>Comme les parties ont ainsi décidé de reconduire le contrat après les résiliations ordinaires susmentionnées, seule la validité de la résiliation abrupte du contrat, signifiée le 3 décembre 2004, doit être examinée.</w:t>
      </w:r>
    </w:p>
    <w:p>
      <w:r>
        <w:t>Le moyen n'a aucun fondement.</w:t>
      </w:r>
    </w:p>
    <w:p>
      <w:r>
        <w:rPr>
          <w:b/>
        </w:rPr>
        <w:t>E. 5</w:t>
      </w:r>
    </w:p>
    <w:p>
      <w:r>
        <w:t>La recourante soutient que la démission de l'intimée de son conseil d'administration, survenue le 11 novembre 2004, a emporté résiliation avec effet immédiat du contrat de travail litigieux.</w:t>
      </w:r>
    </w:p>
    <w:p>
      <w:r>
        <w:t>Ainsi qu'on l'a déjà dit supra, le sort du mandat d'administratrice de l'intimée n'a rien à voir avec la fin de son contrat de travail.</w:t>
      </w:r>
    </w:p>
    <w:p>
      <w:r>
        <w:t>Le moyen est derechef mal fondé.</w:t>
      </w:r>
    </w:p>
    <w:p>
      <w:r>
        <w:rPr>
          <w:b/>
        </w:rPr>
        <w:t>E. 6</w:t>
      </w:r>
    </w:p>
    <w:p>
      <w:r>
        <w:t>Enfin, la recourante remet en cause l'appréciation des juges précédents en ce qui concerne le caractère injustifié du licenciement du 3 décembre 2004, non sans leur reprocher dans la foulée un défaut de motivation. Le grief est privé de tout fondement. Il suffit, pour faire justice du moyen pris de la motivation déficiente, de se référer au considérant 4.2 in initio de l'arrêt cantonal (cf. art. 109 al. 3 LTF ), qui a la teneur suivante:</w:t>
      </w:r>
    </w:p>
    <w:p>
      <w:r>
        <w:t>"En l'espèce, aucun motif n'a été donné au congé dans le courrier du 3 décembre 2004.</w:t>
      </w:r>
    </w:p>
    <w:p>
      <w:r>
        <w:t>Dans ses écritures de réponse de première instance, l'appelante (i. e. la recourante) s'est référée aux faits de gestion déloyale qu'elle avait dénoncés pénalement. Pour la première fois, dans son écriture d'appel, elle invoque également des poursuites intentées contre elle par l'intimée, ainsi que des démarches judiciaires.</w:t>
      </w:r>
    </w:p>
    <w:p>
      <w:r>
        <w:t>Il est constant que l'intimée a été acquittée au terme de la procédure pénale diligentée contre elle; il s'ensuit que les soupçons portés contre elle n'ont pas été établis. (...).</w:t>
      </w:r>
    </w:p>
    <w:p>
      <w:r>
        <w:t>Quant aux autres motifs, invoqués ultérieurement, à supposer qu'ils puissent être retenus dans le cadre restrictif rappelé ci-dessus et soient considérés comme établis, ils n'apparaissent en rien suffisamment graves pour être constitutifs de justes motifs.</w:t>
      </w:r>
    </w:p>
    <w:p>
      <w:r>
        <w:t>Il s'ensuit que le licenciement notifié le 3 décembre 2004 à l'intimée n'était pas justifié, comme les premiers juges l'ont retenu".</w:t>
      </w:r>
    </w:p>
    <w:p>
      <w:r>
        <w:t>Il est indubitable que cette motivation est suffisante au sens exigé par la jurisprudence (cf. ATF 134 I 83 consid. 4.1).</w:t>
      </w:r>
    </w:p>
    <w:p>
      <w:r>
        <w:t>Quant à sa contestation de l'absence de justes motifs de congé, la recourante se limite à exposer son point de vue, sans expliquer en quoi le raisonnement des magistrats cantonaux devrait être tenu pour contraire au droit fédéral, et singulièrement aux art. 337 et 337c CO .</w:t>
      </w:r>
    </w:p>
    <w:p>
      <w:r>
        <w:rPr>
          <w:b/>
        </w:rPr>
        <w:t>E. 7</w:t>
      </w:r>
    </w:p>
    <w:p>
      <w:r>
        <w:t>Le recours se révèle ainsi mal fondé dans la mesure où il est recevable. La recourante, qui succombe, supportera les frais de la procédure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