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4A_601/2019 vom 25. November 2020</w:t>
      </w:r>
    </w:p>
    <w:p>
      <w:r>
        <w:t>Bundesgericht, 2020-11-25, FR</w:t>
      </w:r>
    </w:p>
    <w:p>
      <w:r>
        <w:rPr>
          <w:b/>
        </w:rPr>
        <w:t xml:space="preserve">Quelle: </w:t>
      </w:r>
      <w:r>
        <w:t>https://mcp.opencaselaw.ch/entscheid/bger_4A_601_2019</w:t>
      </w:r>
    </w:p>
    <w:p>
      <w:r>
        <w:t>FR: TF 4A_601/2019 du 25 novembre 2020</w:t>
      </w:r>
    </w:p>
    <w:p>
      <w:r>
        <w:t>IT: TF 4A_601/2019 del 25 novembre 2020</w:t>
      </w:r>
    </w:p>
    <w:p>
      <w:pPr>
        <w:pStyle w:val="Heading2"/>
      </w:pPr>
      <w:r>
        <w:t>Erwägungen</w:t>
      </w:r>
    </w:p>
    <w:p>
      <w:r>
        <w:rPr>
          <w:b/>
        </w:rPr>
        <w:t>E. 1</w:t>
      </w:r>
    </w:p>
    <w:p>
      <w:r>
        <w:t>Interjeté dans le délai fixé par la loi ( art. 100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p. 88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2.3</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régularité de la procédure conduite devant l'instance précédente qui ne pouvaient être invoqués avant, telle une prétendue irrégularité affectant la composition de l'autorité ayant rendu la décision querellée (arrêt 4A_18/2010 du 15 mars 2010 consid. 2.1). Il appartient, le cas échéant, à la partie d'exposer les raisons pour lesquelles elle considère être en droit de présenter exceptionnellement des faits ou des moyens de preuve nouveaux ( ATF 133 III 393 consid. 3 p. 395).</w:t>
      </w:r>
    </w:p>
    <w:p>
      <w:r>
        <w:t>En l'espèce, l'intimée a produit une décision rendue le 11 août 2020 par le Tribunal d'arrondissement de La Côte rendue sur plaintes des recourants. Dans la mesure où ladite décision porte principalement sur l'alléguée tardiveté des réquisitions de vente effectuées par C.b.________ SA (sic), elle n'est pas pertinente pour l'issue du litige.</w:t>
      </w:r>
    </w:p>
    <w:p>
      <w:r>
        <w:t>La preuve nouvelle présentée par l'intimée est irrecevable.</w:t>
      </w:r>
    </w:p>
    <w:p>
      <w:r>
        <w:rPr>
          <w:b/>
        </w:rPr>
        <w:t>E. 3</w:t>
      </w:r>
    </w:p>
    <w:p>
      <w:r>
        <w:t>Les demandeurs font valoir une violation de la LFus. Plus spécifiquement, ils font grief à l'autorité précédente d'avoir retenu que le transfert de patrimoine, antérieur au dépôt de la demande en libération de dette, ne peut conduire à une substitution de partie.</w:t>
      </w:r>
    </w:p>
    <w:p>
      <w:r>
        <w:rPr>
          <w:b/>
        </w:rPr>
        <w:t>E. 3.1</w:t>
      </w:r>
    </w:p>
    <w:p>
      <w:r>
        <w:t>Depuis l'entrée en vigueur, le 1</w:t>
      </w:r>
    </w:p>
    <w:p>
      <w:r>
        <w:t>er juillet 2004, de la LFus, le transfert du patrimoine d'une société n'est plus soumis à l' art. 181 CO mais aux art. 69 ss LFus (cf. art. 181 al. 4 CO ).</w:t>
      </w:r>
    </w:p>
    <w:p>
      <w:r>
        <w:t>En vertu de l' art. 69 al. 1 LFus , la société peut transférer tout ou partie de son patrimoine avec actifs et passifs à un autre sujet de droit privé. Ce transfert nécessite un contrat de transfert (art. 70 s. LFus), lequel doit contenir un inventaire des objets transférés ( art. 71 al. 1 let. b LFus ), et une inscription de ce transfert de patrimoine au registre du commerce ( art. 73 al. 1 LFus ). Conformément aux art. 138 et 139 de l'ordonnance du 17 octobre 2007 sur le registre du commerce (ORC; RS 221.411), l'entité juridique transférante doit notamment joindre le contrat de transfert à sa réquisition d'inscription du transfert de patrimoine adressée au registre du commerce ( art. 138 let. a ORC ) et la date de celui-ci doit être inscrite sous la rubrique de l'entité juridique transférante ( art. 139 let. b ORC ).</w:t>
      </w:r>
    </w:p>
    <w:p>
      <w:r>
        <w:t>Les effets du transfert de patrimoine, qui se produisent entre le transférant et le reprenant dès l'inscription de celui-ci au registre du commerce ( art. 73 al. 2 1</w:t>
      </w:r>
    </w:p>
    <w:p>
      <w:r>
        <w:t>ère phr. LFus), consistent en une succession universelle partielle (AMSTUTZ/MABILLARD, in Commentaire romand, Code des obligations, 2</w:t>
      </w:r>
    </w:p>
    <w:p>
      <w:r>
        <w:t>e éd. 2017, n</w:t>
      </w:r>
    </w:p>
    <w:p>
      <w:r>
        <w:t>o 411 s. ad Intro. LFus; HANS CASPAR VON DER CRONE ET AL., Das Fusionsgesetz, 2e éd. 2017, p. 402 n. 886 et p. 453 n. 997) et portent sur tous les actifs et passifs énumérés dans l'inventaire accompagnant le contrat de transfert ( art. 73 al. 2 2</w:t>
      </w:r>
    </w:p>
    <w:p>
      <w:r>
        <w:t>e phr. LFus). La question de savoir si le transfert peut englober des contrats passés avec des tiers, sans qu'une approbation de leur part ne soit nécessaire (à ce sujet, cf. arrêts 5A_734/2018 et 5A_736/2018 du 4 décembre 2018 consid. 4.3.4; AMSTUTZ/MABILLARD, op. cit., n</w:t>
      </w:r>
    </w:p>
    <w:p>
      <w:r>
        <w:t>os 239 ss ad Intro. LFus), n'a pas à être examinée en l'espèce, le recours étant fondé pour le motif qui suit.</w:t>
      </w:r>
    </w:p>
    <w:p>
      <w:r>
        <w:rPr>
          <w:b/>
        </w:rPr>
        <w:t>E. 3.2</w:t>
      </w:r>
    </w:p>
    <w:p>
      <w:r>
        <w:t>Les effets du transfert de patrimoine à l'égard des tiers débiteurs sont régis par les art. 932 et 933 CO . À teneur de l' art. 932 al. 2 CO , l'inscription n'est opposable aux tiers que dès le jour ouvrable qui suit celui dont la date figure sur le numéro de la FOSC où est publiée l'inscription.</w:t>
      </w:r>
    </w:p>
    <w:p>
      <w:r>
        <w:t>L' art. 933 CO dispose que les tiers auxquels une inscription est devenue opposable ne peuvent se prévaloir de ce qu'ils l'ont ignorée (al. 1) et que, lorsqu'un fait dont l'inscription est requise n'a pas été inscrit, il ne peut être opposé aux tiers que s'il est établi que ces derniers en ont eu connaissance (al. 2).</w:t>
      </w:r>
    </w:p>
    <w:p>
      <w:r>
        <w:t>Lorsqu'il y a transfert de patrimoine, seule est inscrite au registre du commerce et publiée dans la FOSC la valeur totale des actifs et des passifs transférés selon l'inventaire ( art. 139 let . c ORC; art. 2 al. 1 et annexe 1.1 let. b de l'ordonnance du 15 février 2006 sur la Feuille officielle suisse du commerce [OFOSC; RS 221.415]). Ne sont en revanche pas inscrits ni publiés le contrat de transfert de patrimoine (RASHID BAHAR, in Commentaire LFus, 2005, n</w:t>
      </w:r>
    </w:p>
    <w:p>
      <w:r>
        <w:t>o 15 ad art. 73 LFus ) et la liste des actifs et des passifs, notamment les créances et les relations contractuelles, qui figurent dans l'inventaire (cf. art. 71 al. 1 let. b LFus ; RALPH MALACRIDA, in Basler Kommentar, Fusionsgesetz, 2</w:t>
      </w:r>
    </w:p>
    <w:p>
      <w:r>
        <w:t>e éd. 2015, n</w:t>
      </w:r>
    </w:p>
    <w:p>
      <w:r>
        <w:t>o 10 ad art. 73 LFus ; VON DER CRONE ET AL., op. cit., p. 461 n. 1013; ALEXANDER VOGEL ET AL., FusG Kommentar, 3</w:t>
      </w:r>
    </w:p>
    <w:p>
      <w:r>
        <w:t>e éd. 2017, n</w:t>
      </w:r>
    </w:p>
    <w:p>
      <w:r>
        <w:t>o 19 ad art. 73 LFus ).</w:t>
      </w:r>
    </w:p>
    <w:p>
      <w:r>
        <w:t>Dès lors, les effets de publicité susmentionnés ne s'étendent qu'à l'existence du transfert de patrimoine et non aux objets du patrimoine désignés dans l'inventaire contenu dans le contrat de transfert (MALACRIDA, loc. cit.; VOGEL ET AL., loc. cit.; BAHAR, loc. cit.). À moins qu'ils ne soient informés des détails du transfert, les débiteurs de bonne foi peuvent ainsi exécuter leur prestation auprès du transférant (VON DER CRONE ET AL., loc. cit.; BAHAR, loc. cit.). En effet, d'une part, ceux-ci ne peuvent comprendre, en se référant à la seule publication dans la FOSC ou à l'extrait du registre du commerce quels actifs et quels passifs ont été transférés (VOGEL ET AL., loc. cit.). D'autre part, on peut davantage exiger de la société reprenant le patrimoine transféré qu'elle informe le débiteur de l'existence du transfert qu'il ne peut être mis à la charge du débiteur l'incombance de consulter, avant d'effectuer toute prestation, l'inventaire du contrat de transfert et toutes les pièces justificatives relatives aux inscriptions contenues dans le registre du commerce (VON DER CRONE ET AL., op. cit., p. 461 s. n. 1013; cf. VOGEL ET AL., loc. cit.). De même, tant qu'il n'a pas été informé du transfert, le débiteur de bonne foi peut ouvrir action contre son créancier (transférant).</w:t>
      </w:r>
    </w:p>
    <w:p>
      <w:r>
        <w:rPr>
          <w:b/>
        </w:rPr>
        <w:t>E. 3.3</w:t>
      </w:r>
    </w:p>
    <w:p>
      <w:r>
        <w:t>En l'espèce, la publication dans la FOSC mentionne, conformément aux dispositions précitées, uniquement la valeur totale des actifs (soit... fr.) et celle des passifs (soit... fr.) transférés selon l'inventaire, ainsi que celle de la contrepartie qui se monte à... fr. (cf.</w:t>
      </w:r>
    </w:p>
    <w:p>
      <w:r>
        <w:t>supra consid. A.d).</w:t>
      </w:r>
    </w:p>
    <w:p>
      <w:r>
        <w:t>On ne saurait dès lors partir du principe que les recourants, présumés de bonne foi ( art. 3 al. 1 CC ), aient eu connaissance de ce que leur dette hypothécaire envers C.________ AG aurait été transférée à C.a.________ AG.</w:t>
      </w:r>
    </w:p>
    <w:p>
      <w:r>
        <w:t>Il ne ressort pas des constatations de fait de l'autorité précédente que l'intimée ait informé les recourants de l'existence dudit transfert. Celle-ci ne sollicite du reste pas de complètement de l'état de fait dans ce sens devant la Cour de céans. Dès lors, aucun élément n'indique que les recourants avaient connaissance ou auraient dû avoir connaissance, au moment du dépôt de leur demande en libération de dette, dudit transfert.</w:t>
      </w:r>
    </w:p>
    <w:p>
      <w:r>
        <w:t>À cela s'ajoute, enfin, que l'intimée n'a pas informé le Tribunal cantonal du canton de Vaud du changement de titularité de la créance litigieuse avant que ce Tribunal ne notifie les arrêts susmentionnés, ceux-ci mentionnant dès lors l'intimée comme partie à la procédure (cf.</w:t>
      </w:r>
    </w:p>
    <w:p>
      <w:r>
        <w:t>supra consid. A.e). La défenderesse n'a pas non plus réagi suite à la notification desdits arrêts en invoquant qu'elle ne serait plus titulaire de la créance; elle n'a contesté sa qualité pour défendre que plus de trois mois plus tard, suite au dépôt de l'action en libération de dette par les demandeurs.</w:t>
      </w:r>
    </w:p>
    <w:p>
      <w:r>
        <w:t>Dans ces conditions, le transfert de patrimoine n'était pas opposable aux demandeurs au jour de l'ouverture d'action et l'intimée ne pouvait se prévaloir avec succès de ce transfert pour contester sa qualité pour défendre.</w:t>
      </w:r>
    </w:p>
    <w:p>
      <w:r>
        <w:t>Le grief soulevé par les recourants est dès lors bien fondé et il convient d'annuler l'arrêt cantonal et de renvoyer la cause à l'autorité précédente. Il appartiendra à celle-ci, sur requête d'une partie, de procéder à la substitution de partie (art. 83 al. 4 i.f. CPC) s'il est établi que la créance litigieuse a été transférée à C.a.________ AG.</w:t>
      </w:r>
    </w:p>
    <w:p>
      <w:r>
        <w:t>Au vu de ce qui précède, il n'est pas nécessaire d'examiner le second grief des recourants, relatif au formalisme excessif dont l'autorité précédente aurait fait preuve, et à sa recevabilité. La seconde requête d'effet suspensif formulée par les recourants est ainsi sans objet.</w:t>
      </w:r>
    </w:p>
    <w:p>
      <w:r>
        <w:rPr>
          <w:b/>
        </w:rPr>
        <w:t>E. 4</w:t>
      </w:r>
    </w:p>
    <w:p>
      <w:r>
        <w:t>Au vu de ce qui précède, le recours doit être admis et la cause renvoyée à l'autorité cantonale pour nouvelle décision dans le sens des considérants. Par conséquent, les frais judiciaires et les dépens de la présente procédure seront mis à la charge de l'intimée,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