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4A_600/2019 vom 17. Juni 2020</w:t>
      </w:r>
    </w:p>
    <w:p>
      <w:r>
        <w:t>Bundesgericht, 2020-06-17, FR</w:t>
      </w:r>
    </w:p>
    <w:p>
      <w:r>
        <w:rPr>
          <w:b/>
        </w:rPr>
        <w:t xml:space="preserve">Quelle: </w:t>
      </w:r>
      <w:r>
        <w:t>https://mcp.opencaselaw.ch/entscheid/bger_4A_600_2019</w:t>
      </w:r>
    </w:p>
    <w:p>
      <w:r>
        <w:t>FR: TF 4A_600/2019 du 17 juin 2020</w:t>
      </w:r>
    </w:p>
    <w:p>
      <w:r>
        <w:t>IT: TF 4A_600/2019 del 17 giugno 2020</w:t>
      </w:r>
    </w:p>
    <w:p>
      <w:pPr>
        <w:pStyle w:val="Heading2"/>
      </w:pPr>
      <w:r>
        <w:t>Erwägungen</w:t>
      </w:r>
    </w:p>
    <w:p>
      <w:r>
        <w:rPr>
          <w:b/>
        </w:rPr>
        <w:t>E. 1</w:t>
      </w:r>
    </w:p>
    <w:p>
      <w:r>
        <w:t>Interjeté dans le délai fixé par la loi ( art. 100 al. 1 LTF ) et dirigé contre une décision finale ( art. 90 LTF ) rendue sur appel par le tribunal supérieur du canton de Genève ( art. 75 LTF ) dans une affaire civile ( art. 72 al. 1 LTF ) dont la valeur litigieuse dépasse 30'000 fr. ( art. 74 al. 1 let. b LTF ), le recours en matière civile est en principe recevable.</w:t>
      </w:r>
    </w:p>
    <w:p>
      <w:r>
        <w:rPr>
          <w:b/>
        </w:rPr>
        <w:t>E. 2.1.1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p. 117; 137 I 58 consid. 4.1.2 p. 62; 137 II 353 consid. 5.1 p. 356)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 p. 560; 134 V 53 consid. 4.3 p. 62; 133 II 249 consid. 1.4.3 p. 254 s.; 129 I 8 consid. 2.1 p. 9).</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rPr>
          <w:b/>
        </w:rPr>
        <w:t>E. 2.1.2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140 III 86 consid. 2). Il n'est en revanche pas lié par l'argumentation juridique développée par les parties ou par l'autorité précédente; il peut admettre le recours, comme il peut le rejeter en procédant à une substitution de motifs ( ATF 135 III 397 consid. 1.4 p. 400).</w:t>
      </w:r>
    </w:p>
    <w:p>
      <w:r>
        <w:rPr>
          <w:b/>
        </w:rPr>
        <w:t>E. 2.2</w:t>
      </w:r>
    </w:p>
    <w:p>
      <w:r>
        <w:t>En l'espèce, le recourant considère que les constatations de fait de l'autorité précédente sont en partie manifestement inexactes et lacunaires au sens de l' art. 105 al. 2 LTF .</w:t>
      </w:r>
    </w:p>
    <w:p>
      <w:r>
        <w:t>En requérant le complètement de l'état de fait, il semble que le recourant invoque en réalité l'arbitraire ( art. 9 Cst. ). Les critiques émises par le recourant à l'encontre de l'arrêt attaqué ne répondent toutefois pas aux exigences de motivation requises (cf.</w:t>
      </w:r>
    </w:p>
    <w:p>
      <w:r>
        <w:t>supra 2.1.1). Quand bien même l'état de fait serait complété dans le sens desdites critiques, l'issue de l'affaire ne s'en trouverait pas modifiée, le recourant n'ayant pas démontré que les éléments de fait allégués sont pertinents en l'espèce (art. 97 al. 1</w:t>
      </w:r>
    </w:p>
    <w:p>
      <w:r>
        <w:t>in fine LTF).</w:t>
      </w:r>
    </w:p>
    <w:p>
      <w:r>
        <w:t>Le moyen est infondé.</w:t>
      </w:r>
    </w:p>
    <w:p>
      <w:r>
        <w:rPr>
          <w:b/>
        </w:rPr>
        <w:t>E. 3</w:t>
      </w:r>
    </w:p>
    <w:p>
      <w:r>
        <w:t>La seule question litigieuse est celle de savoir si un contrat de mandat a été conclu entre A.________ (ci-après: le " demandeur ") et B.________ (ci-après: le " défendeur ").</w:t>
      </w:r>
    </w:p>
    <w:p>
      <w:r>
        <w:rPr>
          <w:b/>
        </w:rPr>
        <w:t>E. 3.1.1</w:t>
      </w:r>
    </w:p>
    <w:p>
      <w:r>
        <w:t>La qualité pour agir, comme la qualité pour défendre, appartient aux conditions matérielles de la prétention litigieuse. Elle se détermine donc selon le droit matériel ( ATF 130 III 417 consid. 3.1 p. 424 et les arrêts cités).</w:t>
      </w:r>
    </w:p>
    <w:p>
      <w:r>
        <w:rPr>
          <w:b/>
        </w:rPr>
        <w:t>E. 3.1.2</w:t>
      </w:r>
    </w:p>
    <w:p>
      <w:r>
        <w:t>Savoir si les parties sont tombées d'accord et ont conclu un contrat de mandat est affaire d'interprétation de leurs volontés. La volonté de conclure un contrat peut être manifestée de manière expresse ou tacite ( art. 1 al. 2 CO ; cf. ATF 128 III 419 consid. 2.2 p. 422; 123 III 53 consid. 5a p. 59). Pour qu'un contrat puisse être considéré comme conclu, il faut que les parties aient eu la volonté d'être liées par celui-ci.</w:t>
      </w:r>
    </w:p>
    <w:p>
      <w:r>
        <w:t>Pour déterminer ce que les parties voulaient, le juge doit rechercher, dans un premier temps, leur réelle et commune intention, le cas échéant empiriquement, sur la base d'indices ( ATF 132 III 268 consid. 2.3.2 p. 274 s., 626 consid. 3.1 p. 632; 131 III 606 consid. 4.1 p. 611). Constituent des indices en ce sens non seulement la teneur des déclarations de volonté - écrites ou orales -, mais encore le contexte général, soit toutes les circonstances permettant de découvrir la volonté réelle des parties, qu'il s'agisse de déclarations anté 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(arrêts 4A_508/2016 du 16 juin 2017 consid. 6.2 et les arrêts cités; 4A_98/2016 du 22 août 2016 consid. 5.1).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p. 98).</w:t>
      </w:r>
    </w:p>
    <w:p>
      <w:r>
        <w:t>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p. 98 s.; arrêts 4A_508/2016 déjà cité consid. 6.2 et les arrêts cités; 4A_98/2016 déjà cité consid. 5.1).</w:t>
      </w:r>
    </w:p>
    <w:p>
      <w:r>
        <w:rPr>
          <w:b/>
        </w:rPr>
        <w:t>E. 3.2</w:t>
      </w:r>
    </w:p>
    <w:p>
      <w:r>
        <w:t>En l'espèce, l'autorité précédente a retenu que le demandeur et le défendeur n'avaient pas la volonté réelle de conclure un contrat de mandat. Pour parvenir à cette conclusion, elle a retenu cinq principaux éléments factuels, soit (1) le dossier mentionnait C.________ SA et non le défendeur comme cliente et l'entretien du 26 mai 2016 a porté davantage sur C.________ SA que sur le défendeur, (2) le fait que la procuration a été émise par C.________ SA uniquement, (3) les activités du demandeur ont été effectuées exclusivement au profit de C.________ SA et non du défendeur, (4) les</w:t>
      </w:r>
    </w:p>
    <w:p>
      <w:r>
        <w:t>time-sheets du demandeur indiquent qu'aucune activité n'a été déployée au profit du défendeur et (5) les notes d'honoraires ont été envoyées au siège de C.________ SA et non au domicile du défendeur.</w:t>
      </w:r>
    </w:p>
    <w:p>
      <w:r>
        <w:t>L'entier de ces constatations factuelles, y compris celle relative à l'absence de volonté réelle du défendeur de conclure un contrat de mandat avec le demandeur, n'est pas arbitraire. Dès lors, il lie le Tribunal fédéral (cf.</w:t>
      </w:r>
    </w:p>
    <w:p>
      <w:r>
        <w:t>supra consid. 3.1.2). Il n'est dès lors ni nécessaire ni même possible, contrairement à ce que laisse entendre le demandeur, de procéder à une interprétation objective basée sur la confiance.</w:t>
      </w:r>
    </w:p>
    <w:p>
      <w:r>
        <w:t>Le demandeur, en sa qualité d'avocat, ne saurait par ailleurs ignorer que, s'il avait souhaité pouvoir transiger ou compromettre en faveur du défendeur, il eût besoin, comme le prévoit l' art. 396 al. 3 CO , d'un pouvoir spécial usuellement consigné dans une procuration établie en bonne et due forme (OSER/WEBER, Basler Kommentar Obligationenrecht I, 7e éd., 2019, n</w:t>
      </w:r>
    </w:p>
    <w:p>
      <w:r>
        <w:t>o 14 s. ad art. 396 CO ). S'il avait considéré que le défendeur était également son client, on ne s'explique pas qu'il ne lui ait pas demandé d'établir, en même temps que la procuration émise pour le compte de C.________ SA, une procuration en son nom propre.</w:t>
      </w:r>
    </w:p>
    <w:p>
      <w:r>
        <w:t>La critique est infondée. C'est à bon droit que la Cour de justice a retenu que le demandeur et le défendeur n'ont en l'espèce pas conclu de contrat de mandat et que celui-ci ne dispose pas de la qualité pour défendre.</w:t>
      </w:r>
    </w:p>
    <w:p>
      <w:r>
        <w:rPr>
          <w:b/>
        </w:rPr>
        <w:t>E. 4</w:t>
      </w:r>
    </w:p>
    <w:p>
      <w:r>
        <w:t>Le demandeur tente encore de tirer argument du principe de la transparence et, en particulier, de fonder sur ce principe une obligation du défendeur de s'acquitter des notes d'honoraires qu'il a établies.</w:t>
      </w:r>
    </w:p>
    <w:p>
      <w:r>
        <w:rPr>
          <w:b/>
        </w:rPr>
        <w:t>E. 4.1</w:t>
      </w:r>
    </w:p>
    <w:p>
      <w:r>
        <w:t>En principe, il faut prendre en compte l'indépendance juridique d'une personne morale. Ce n'est que dans des circonstances exceptionnelles qu'un tiers peut être tenu des engagements d'un débiteur. Ainsi, selon le principe de la transparence ("Durchgriff"),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 art. 2 al. 2 CC ; sur le principe de la transparence en général: cf. ATF 132 III 489 consid. 3.2 p. 493).</w:t>
      </w:r>
    </w:p>
    <w:p>
      <w:r>
        <w:t>L'application du principe de la transparence ("Durchgriff")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 ATF 132 III 489 consid. 3.2 p. 493; 121 III 319 consid. 5a/aa p. 321; 102 III 165 consid. II.1 p. 169 s.; arrêt 5A_739/2012 du 17 mai 2013 consid. 7.2.1, publié in SJ 2014 I p. 17 et les nombreuses références).</w:t>
      </w:r>
    </w:p>
    <w:p>
      <w:r>
        <w:rPr>
          <w:b/>
        </w:rPr>
        <w:t>E. 4.2</w:t>
      </w:r>
    </w:p>
    <w:p>
      <w:r>
        <w:t>En l'espèce, le demandeur n'apporte aucun élément permettant de retenir l'existence des circonstances exceptionnelles nécessaires à l'applicabilité du principe de la transparence. On ne voit d'ailleurs pas comment ce principe pourrait être applicable au défendeur qui, au moment de la signature de la procuration émise pour C.________ SA, n'en était ni l'actionnaire unique ni ne disposait à son égard d'un droit de signature individuelle.</w:t>
      </w:r>
    </w:p>
    <w:p>
      <w:r>
        <w:t>Le grief est dès lors infondé.</w:t>
      </w:r>
    </w:p>
    <w:p>
      <w:r>
        <w:rPr>
          <w:b/>
        </w:rPr>
        <w:t>E. 5</w:t>
      </w:r>
    </w:p>
    <w:p>
      <w:r>
        <w:t>Il résulte des considérations qui précèdent que le recours en matière civile doit être rejeté dans la mesure où il est recevable.</w:t>
      </w:r>
    </w:p>
    <w:p>
      <w:r>
        <w:t>Les frais judiciaires et les dépens sont mis à la charge du recourant,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