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4A_5/2015 vom 20. April 2015</w:t>
      </w:r>
    </w:p>
    <w:p>
      <w:r>
        <w:t>Bundesgericht, 2015-04-20, DE</w:t>
      </w:r>
    </w:p>
    <w:p>
      <w:r>
        <w:rPr>
          <w:b/>
        </w:rPr>
        <w:t xml:space="preserve">Quelle: </w:t>
      </w:r>
      <w:r>
        <w:t>https://mcp.opencaselaw.ch/entscheid/bger_4A_5_2015</w:t>
      </w:r>
    </w:p>
    <w:p>
      <w:r>
        <w:t>FR: TF 4A_5/2015 du 20 avril 2015</w:t>
      </w:r>
    </w:p>
    <w:p>
      <w:r>
        <w:t>IT: TF 4A_5/2015 del 20 aprile 2015</w:t>
      </w:r>
    </w:p>
    <w:p>
      <w:pPr>
        <w:pStyle w:val="Heading2"/>
      </w:pPr>
      <w:r>
        <w:t>Erwägungen</w:t>
      </w:r>
    </w:p>
    <w:p>
      <w:r>
        <w:rPr>
          <w:b/>
        </w:rPr>
        <w:t>E. 1</w:t>
      </w:r>
    </w:p>
    <w:p>
      <w:r>
        <w:t>Die Streitigkeit betrifft eine Zivilsache ( Art. 72 BGG ) mit einem Streitwert über Fr. 30'000.-- ( Art. 74 Abs. 1 lit. b BGG ). Der angefochtene Endentscheid ( Art. 90 BGG ) ist von einem oberen kantonalen Gericht als Rechtsmittelinstanz erlassen ( Art. 75 BGG ) und von der beschwerdeberechtigten Partei ( Art. 76 Abs. 1 BGG ) fristgerecht ( Art. 100 Abs. 1 BGG ) angefochten worden. Auf die Beschwerde ist demnach einzutreten.</w:t>
      </w:r>
    </w:p>
    <w:p>
      <w:r>
        <w:rPr>
          <w:b/>
        </w:rPr>
        <w:t>E. 2</w:t>
      </w:r>
    </w:p>
    <w:p>
      <w:r>
        <w:t>Die Vorinstanz kam zum Ergebnis, dass der Beschwerdegegner durch die acht Schreiben vom 23. Juli 2008 das in der noch bis am 31. Oktober 2008 laufenden Vereinbarung vom 10./21. Dezember 2004 statuierte Konkurrenzverbot verletzt hatte.</w:t>
      </w:r>
    </w:p>
    <w:p>
      <w:r>
        <w:t>Sie erachtete jedoch die vereinbarte Konventionalstrafe in Höhe von Fr. 10'000.-- pro Fall als übermässig und setzte sie für die acht Fälle auf insgesamt Fr. 8'000.-- herab.</w:t>
      </w:r>
    </w:p>
    <w:p>
      <w:r>
        <w:t>Gegen diese Herabsetzung der Konventionalstrafe wendet sich die Beschwerdeführerin, wobei sie eine Verletzung von Art. 163 Abs. 3 OR , der Beweislastregel gemäss Art. 8 ZGB sowie von Art. 150 bzw. 152 ZPO rügt.</w:t>
      </w:r>
    </w:p>
    <w:p>
      <w:r>
        <w:rPr>
          <w:b/>
        </w:rPr>
        <w:t>E. 3.1</w:t>
      </w:r>
    </w:p>
    <w:p>
      <w:r>
        <w:t>Gemäss Art. 163 Abs. 3 OR hat der Richter übermässig hohe Konventionalstrafen nach seinem Ermessen herabzusetzen. 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 BGE 133 III 201 E. 5.2 S. 209, 43 E. 3.3.1). Eine Herabsetzung der Konventionalstrafe rechtfertigt sich insbesondere, wenn zwischen dem vereinbarten Betrag und dem im Zeitpunkt der Vertragsverletzung bestehenden Interesse des Ansprechers, daran im vollen Umfang festzuhalten, ein krasses Missverhältnis besteht. Ob diese Voraussetzung gegeben ist, entscheidet sich nicht allgemein, sondern hängt von den Umständen des Einzelfalles ab. Dazu gehören insbesondere die Art und Dauer des Vertrags, die Schwere des Verschuldens und der Vertragsverletzung, das Interesse des Ansprechers an der Einhaltung des Verbots sowie die wirtschaftliche Lage der Beteiligten, namentlich des Verpflichteten.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133 III 201 E. 5.2, 43 E. 3.3.2; je mit Hinweisen).</w:t>
      </w:r>
    </w:p>
    <w:p>
      <w:r>
        <w:t>Die tatsächlichen Voraussetzungen einer Herabsetzung und damit auch das Missverhältnis zum Erfüllungsinteresse sind gemäss Art. 8 ZGB nicht vom Gläubiger, sondern vom Schuldner zu behaupten und nachzuweisen ( BGE 133 III 201 E. 5.2 S. 210, 43 E. 4.1; 114 II 264 E. 1b). Allerdings kann der Schuldner in Bezug auf den Schaden, der dem Gläubiger entstanden ist, aus eigener Kenntnis oft nichts darlegen, weshalb vom Gläubiger verlangt werden darf, dass er seinen Schaden beziffert und die Behauptung, es liege kein oder bloss ein geringer Schaden vor, substanziiert bestreitet. Der Gläubiger hat sein Interesse aber nicht ziffernmässig nachzuweisen; denn damit würde Art. 161 Abs. 1 OR umgangen. Ebenso wenig darf sich der Richter bei der Prüfung, ob ein Missverhältnis vorliege und die Strafe deshalb herabzusetzen sei, mit dem eingetretenen Schaden begnügen, da dieser dem Interesse des Ansprechers, an der Konventionalstrafe im vollen Umfang festzuhalten, nicht entsprechen muss. Eine Konventionalstrafe kann mithin nicht schon deshalb als übermässig bezeichnet werden, weil sie den Betrag übersteigt, den der Gläubiger als Schadenersatz wegen Nichterfüllung beanspruchen könnte; diesfalls verlöre die Strafe ihren Sinn ( BGE 133 III 43 E. 4.1 S. 54; Urteil 4A_160/2012 vom 17. Oktober 2012 E. 1.2, nicht publ. in: BGE 138 III 746 ).</w:t>
      </w:r>
    </w:p>
    <w:p>
      <w:r>
        <w:rPr>
          <w:b/>
        </w:rPr>
        <w:t>E. 3.2</w:t>
      </w:r>
    </w:p>
    <w:p>
      <w:r>
        <w:t>Das Ermessen des Richters ( Art. 163 Abs. 3 OR ; Art. 4 ZGB ) bezieht sich sowohl auf die Frage der Übermässigkeit der Strafe als auch auf den Umfang der Herabsetzung. Beide Male hat der Richter nach Recht und Billigkeit zu entscheiden. Wenn er der Auffassung ist, die Strafe sei übermässig im vorstehend genannten Sinn, hat er sie bloss soweit zu reduzieren, dass sie nicht mehr in dieser Weise als übermässig erscheint ( BGE 133 III 201 E. 5.2 S. 210).</w:t>
      </w:r>
    </w:p>
    <w:p>
      <w:r>
        <w:t>Diesen Ermessensentscheid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135 III 121 E. 2; 133 III 201 E. 5.4 S. 211; 129 III 380 E. 2 S. 381 f.).</w:t>
      </w:r>
    </w:p>
    <w:p>
      <w:r>
        <w:rPr>
          <w:b/>
        </w:rPr>
        <w:t>E. 4.1</w:t>
      </w:r>
    </w:p>
    <w:p>
      <w:r>
        <w:t>Die Beschwerdeführerin sieht zunächst Art. 8 ZGB (in Verbindung mit Art. 163 Abs. 3 OR ) verletzt, weil die Vorinstanz betreffend die Übermässigkeit der Konventionalstrafe auf die Darstellung des beweisbelasteten Beschwerdegegners abgestellt habe, obwohl sie (die Beschwerdeführerin) dessen Behauptungen substanziiert bestritten habe. Zudem habe die Vorinstanz das Recht auf Beweis nach Art. 152 ZPO verletzt, weil sie die Beweismittel der Beschwerdeführerin nicht abgenommen habe. Sie habe die Klagebeilagen 25 und 26 eingereicht und H.________ als Zeugen beantragt zu den Behauptungen, "dass die zu erwartenden durchschnittlichen jährlich wiederkehrenden Gebühren pro Kunde CHF 1'000.-- betrage, die einmalige Gebühr CHF 1'645.- [...] und ein nicht bezifferbarer Wertverlust des Geschäfts durch Abwerbung von Kunden bestehe".</w:t>
      </w:r>
    </w:p>
    <w:p>
      <w:r>
        <w:rPr>
          <w:b/>
        </w:rPr>
        <w:t>E. 4.2</w:t>
      </w:r>
    </w:p>
    <w:p>
      <w:r>
        <w:t>Die Vorinstanz ging in Würdigung der Parteivorbringen und der Akten davon aus, die Abonnementsgebühren betrügen pro Kunde und Jahr Fr. 100.--, wovon unter dem Franchisevertrag der Beschwerdeführerin Fr. 40.-- (40 %) und nach Vertragsbeendigung Fr. 100.-- (100 %) verblieben. Werde jedes der acht Schreiben als Vertragsverletzung betrachtet und die genannten jährlichen Einnahmen der Beschwerdeführerin pro Kunde berücksichtigt, so müsste jeder der angeschriebenen Kunden 100 Jahre bei der Beschwerdeführerin verbleiben, damit Einnahmen in Höhe von Fr. 10'000.-- pro Kunde entstünden. Auf diesen Umstand habe der Beschwerdegegner schon im erstinstanzlichen Verfahren hingewiesen, wobei er allerdings nur von Einnahmen der Beschwerdeführerin in Höhe von jährlich Fr. 40.-- pro Kunde ausgegangen sei. Aber auch wenn jährliche Einnahmen von Fr. 100.-- zugrunde zu legen seien, sei jedenfalls eine Konventionalstrafe in der Höhe der hundertfachen jährlichen Einnahmen pro Kunde nicht mehr angemessen, weil kaum ein Kunde hundert Jahre lang dieselbe Marketingstrategie verfolge und auch nicht abzusehen sei, dass die Beschwerdeführerin ihre Dienstleistungen überhaupt solange anbieten werde. Darüber hinausgehende Einnahmen aus Verträgen mit den acht angeschriebenen Kunden seien nicht erstellt.</w:t>
      </w:r>
    </w:p>
    <w:p>
      <w:r>
        <w:rPr>
          <w:b/>
        </w:rPr>
        <w:t>E. 4.3</w:t>
      </w:r>
    </w:p>
    <w:p>
      <w:r>
        <w:t>Die Vorinstanz gelangte mithin betreffend das Missverhältnis der vereinbarten Konventionalstrafe zum Erfüllungsinteresse zu einem positiven Beweisergebnis, indem sie es im Sinne der Vorbringen des Beschwerdegegners als erwiesen ansah, dass die der Beschwerdeführerin aus den (allfälligen) Verträgen mit den acht angeschriebenen Kunden entgangenen Einnahmen lediglich Fr. 100.-- pro Jahr und Kunde betragen würden, was zu einem offensichtlichen Missverhältnis zur vereinbarten Konventionalstrafe von Fr. 10'000.-- pro Fall führe. Angesichts dieses Beweisergebnisses ist die Beweislastverteilung gegenstandslos, und die entsprechende Rüge geht ins Leere (siehe BGE 138 III 193 E. 6.1 S. 202).</w:t>
      </w:r>
    </w:p>
    <w:p>
      <w:r>
        <w:t>Dass die Beweiswürdigung der Vorinstanz willkürlich wäre, legt die Beschwerdeführerin nicht dar und ist nicht von Amtes wegen zu prüfen ( Art. 106 Abs. 2 BGG ).</w:t>
      </w:r>
    </w:p>
    <w:p>
      <w:r>
        <w:rPr>
          <w:b/>
        </w:rPr>
        <w:t>E. 4.4</w:t>
      </w:r>
    </w:p>
    <w:p>
      <w:r>
        <w:t>Auch die geltend gemachte Verletzung von Art. 152 ZPO (respektive von Art. 150 ZPO ) wegen Nichtabnahme von Beweisanträgen verfängt nicht. Diesbezüglich liegt antizipierte Beweiswürdigung vor, die durch Art. 8 ZGB nicht ausgeschlossen ist ( BGE 122 III 219 E. 3c; 114 II 289 E. 2a S. 291) und in die das Bundesgericht nur eingreift, wenn sie willkürlich und damit offensichtlich unhaltbar ist (vgl. Urteil 5A_726/2009 vom 30. April 2010 E. 3.1, nicht publ. in: BGE 136 III 365 ; 109 II 26 E. 3b; je mit Hinweisen).</w:t>
      </w:r>
    </w:p>
    <w:p>
      <w:r>
        <w:t>Die Beschwerdeführerin zeigt jedoch auch in diesem Zusammenhang keine Willkür auf. Ihre blosse Behauptung, die Aufstellung betreffend angebliche Kundeneinnahmen gemäss Klagebeilagen 25 und 26 würde beweisen, dass eine Vielzahl von Kunden zusätzliche Dienstleistungen in Anspruch genommen habe, macht es noch nicht unhaltbar, wenn die Vorinstanz diese selbst erstellte Aufstellung nicht für beweiskräftig betreffend die acht angeschriebenen Kunden betrachtete. Sodann blieb die Vorinstanz nicht beim angenommenen Schaden (jährliche Abonnementsgebühr von Fr. 100.--) stehen, sondern legte ihrer Beurteilung die weiteren Umstände des vorliegenden Falles zugrunde. Sie befand, die vereinbarte Konventionalstrafe sei selbst dann übermässig, wenn davon ausgegangen werde, dass einige der angeschriebenen Kunden noch weitere Leistungen aus dem Angebot der Beschwerdeführerin beansprucht hätten, weil es wenig wahrscheinlich wäre, dass das Erfüllungsinteresse der Beschwerdeführerin den Wert von Fr. 8'000.-- übersteigen würde. Die Vorinstanz blendete also das Vorbringen der Beschwerdeführerin betreffend Inanspruchnahme weiterer Leistungen nicht einfach aus, hielt die entsprechende Möglichkeit aber bezüglich der acht angeschriebenen Kunden für nicht wahrscheinlich, jedenfalls nicht im behaupteten Umfang. Dass sie dabei in Willkür verfallen wäre, wird nicht aufgezeigt.</w:t>
      </w:r>
    </w:p>
    <w:p>
      <w:r>
        <w:t>Sodann vermag die Beschwerdeführerin dem vorinstanzlichen Argument nichts entgegen zu halten, wonach der als Zeuge offerierte H.________ Geschäftsführer und Gesellschafter der Beschwerdeführerin sei und daher gemäss Art. 159 ZPO als Zeuge ausscheide.</w:t>
      </w:r>
    </w:p>
    <w:p>
      <w:r>
        <w:rPr>
          <w:b/>
        </w:rPr>
        <w:t>E. 4.5</w:t>
      </w:r>
    </w:p>
    <w:p>
      <w:r>
        <w:t>Demgemäss ist weder Art. 8 ZGB noch Art. 152 ZPO verletzt.</w:t>
      </w:r>
    </w:p>
    <w:p>
      <w:r>
        <w:rPr>
          <w:b/>
        </w:rPr>
        <w:t>E. 5</w:t>
      </w:r>
    </w:p>
    <w:p>
      <w:r>
        <w:t>Die Beschwerdeführerin beanstandet sodann Ermessensfehler der Vorinstanz bei der Herabsetzung der Konventionalstrafe. Was sie vorbringt, begründet jedoch keinen hinlänglichen Anlass für das Bundesgericht, in das Ermessen der Vorinstanz einzugreifen:</w:t>
      </w:r>
    </w:p>
    <w:p>
      <w:r>
        <w:rPr>
          <w:b/>
        </w:rPr>
        <w:t>E. 5.1</w:t>
      </w:r>
    </w:p>
    <w:p>
      <w:r>
        <w:t>Sie wirft der Vorinstanz vor, ausser Acht gelassen zu haben, "dass es um den Schutz des Franchisesystems" gehe. Die Konventionalstrafe diene der Absicherung ihres Geschäftsmodells. Indem die Vorinstanz die Konventionalstrafe auf einen Zehntel reduziert habe, habe sie ihr (der Beschwerdeführerin) das vereinbarte Sicherungsmittel aus der Hand geschlagen.</w:t>
      </w:r>
    </w:p>
    <w:p>
      <w:r>
        <w:t>Dieses Vorbringen zeigt keinen Ermessensfehler auf, wird doch nicht ausgeführt, inwiefern die Reduktion auf einen Zehntel bezogen auf das von der Vorinstanz festgestellte Übermass der vereinbarten Konventionalstrafe mit den im vorliegenden Fall gegebenen Umständen unvereinbar wäre.</w:t>
      </w:r>
    </w:p>
    <w:p>
      <w:r>
        <w:rPr>
          <w:b/>
        </w:rPr>
        <w:t>E. 5.2</w:t>
      </w:r>
    </w:p>
    <w:p>
      <w:r>
        <w:t>Die weitere Argumentation der Beschwerdeführerin beruht auf der Grundlage, dass die Vorinstanz den Schaden falsch festgestellt und dabei Art. 29 Abs. 2 BV , Art. 152 ZPO und Art. 8 ZGB verletzt habe. Nachdem sich diese Rügen jedoch als unbegründet erwiesen haben (vgl. Erwägung 4), vermag auch die darauf aufgebaute Argumentation kein Eingreifen des Bundesgerichts in die Ermessensausübung der Vorinstanz zu rechtfertigen.</w:t>
      </w:r>
    </w:p>
    <w:p>
      <w:r>
        <w:rPr>
          <w:b/>
        </w:rPr>
        <w:t>E. 5.3</w:t>
      </w:r>
    </w:p>
    <w:p>
      <w:r>
        <w:t>Die Beschwerdeführerin beanstandet sodann die Feststellung der Vorinstanz als offensichtlich unrichtig, dass die Kunden von der Beschwerdeführerin bei Vertragsende entschädigungslos hätten übernommen werden können. Da dieser Umstand nicht zutreffe, könne er bei der Beurteilung der Angemessenheit der Konventionalstrafe nicht berücksichtigt werden. Die Beschwerdeführerin zeigt indessen keine offensichtliche Unrichtigkeit im Sinne von Art. 97 Abs. 1 BGG auf. Im Gegenteil stimmt die beanstandete Feststellung der Vorinstanz mit der zum Beleg angegebenen Aktenstelle (Ziffer VI.4 des Franchisevertrags) überein.</w:t>
      </w:r>
    </w:p>
    <w:p>
      <w:r>
        <w:rPr>
          <w:b/>
        </w:rPr>
        <w:t>E. 5.4</w:t>
      </w:r>
    </w:p>
    <w:p>
      <w:r>
        <w:t>Ferner wirft die Beschwerdeführerin der Vorinstanz vor, das Verschulden des Beschwerdegegners mit keinem Wort erwähnt und demnach nicht berücksichtigt zu haben. Dieses wiege ausserordentlich schwer. Auch insofern verfängt die Beschwerde nicht: Die Vorinstanz berücksichtigte das Verschulden des Beschwerdegegners, indem sie ausführte, dass es nicht um ein nachvertragliches Konkurrenzverbot gehe und der Beschwerdegegner nur noch bis zum 31. Oktober 2008 an dieses Konkurrenzverbot gebunden gewesen sei. Danach habe er die Kunden ohnehin anschreiben und für ein neues Portal anwerben dürfen. Sie brachte damit zum Ausdruck, dass höchstens von einem leichten Verschulden des Beschwerdegegners auszugehen sei. Dass diese Beurteilung unhaltbar und stattdessen - wie die Beschwerdeführerin meint - ein ausserordentlich schweres Verschulden anzunehmen wäre, ist nicht dargetan.</w:t>
      </w:r>
    </w:p>
    <w:p>
      <w:r>
        <w:rPr>
          <w:b/>
        </w:rPr>
        <w:t>E. 5.5</w:t>
      </w:r>
    </w:p>
    <w:p>
      <w:r>
        <w:t>Schliesslich stösst sich die Beschwerdeführerin daran, dass die Vorinstanz ausführte, unter den (genannten) Umständen erscheine eine Konventionalstrafe in Höhe von total Fr. 8'000.-- als angemessen. Die Vorinstanz habe verkannt, dass es nicht um die Frage der "Angemessenheit" gehe, sondern um die Frage, ob der vereinbarte Betrag von Fr. 10'000.-- "krass übersetzt" sei. Im Fall der krass übersetzten Vertragsstrafe sei diese um das überschiessende Mass herabzusetzen. Indessen ist die einschlägige Erwägung 6 der Vorinstanz zur Herabsetzung der Konventionalstrafe in ihrer Gesamtheit ohne weiteres in dem Sinne zu verstehen, dass die Vorinstanz ein krasses Missverhältnis feststellte, welches sie durch eine entsprechende Reduktion beseitigte. Inwiefern eine Kürzung der eingeklagten Konventionalstrafe auf Fr. 8'000.--, mithin auf einen Zehntel, unter den vorliegenden Umständen den bundesrechtlichen Grundsätzen (vgl. Erwägung 3.2) widersprechen soll, ist nicht erkennbar.</w:t>
      </w:r>
    </w:p>
    <w:p>
      <w:r>
        <w:rPr>
          <w:b/>
        </w:rPr>
        <w:t>E. 5.6</w:t>
      </w:r>
    </w:p>
    <w:p>
      <w:r>
        <w:t>Auch die gegen die Ermessensausübung der Vorinstanz gerichteten Rügen gehen somit fehl.</w:t>
      </w:r>
    </w:p>
    <w:p>
      <w:r>
        <w:rPr>
          <w:b/>
        </w:rPr>
        <w:t>E. 6</w:t>
      </w:r>
    </w:p>
    <w:p>
      <w:r>
        <w:t>Aus diesen Gründen ist die Beschwerde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