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4A_59/2022 vom 18. März 2022</w:t>
      </w:r>
    </w:p>
    <w:p>
      <w:r>
        <w:t>Bundesgericht, 2022-03-18, DE</w:t>
      </w:r>
    </w:p>
    <w:p>
      <w:r>
        <w:rPr>
          <w:b/>
        </w:rPr>
        <w:t xml:space="preserve">Quelle: </w:t>
      </w:r>
      <w:r>
        <w:t>https://mcp.opencaselaw.ch/entscheid/bger_4A_59_2022</w:t>
      </w:r>
    </w:p>
    <w:p>
      <w:r>
        <w:t>FR: TF 4A_59/2022 du 18 mars 2022</w:t>
      </w:r>
    </w:p>
    <w:p>
      <w:r>
        <w:t>IT: TF 4A_59/2022 del 18 marzo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Vor Bundesgericht ist einzig die Missbräuchlichkeit der Kündigung des Arbeitsvertrages umstritten. Die Beschwerdeführerin stellt sich auf den Standpunkt, die Beschwerdegegnerin schulde ihr eine Entschädigung von Fr. 30'597.45 (netto) samt Zins nach Art. 336a OR , was die Vorinstanzen verneinten.</w:t>
      </w:r>
    </w:p>
    <w:p>
      <w:r>
        <w:rPr>
          <w:b/>
        </w:rPr>
        <w:t>E. 4.1</w:t>
      </w:r>
    </w:p>
    <w:p>
      <w:r>
        <w:t>Die Beschwerdeführerin macht vorab eine offensichtlich unrichtige Sachverhaltsfeststellung durch die Vorinstanz geltend. Die Vorinstanz habe ohne jeden sachlichen Grund unberücksichtigt gelassen, dass der Kündigungsentscheid am 17. Juli 2018 (am Tag nach dem Einsatz in der C.________) gefallen sei und die Beschwerdegegnerin in diesem Zeitpunkt gewusst habe, dass sie das Arbeitsverhältnis nicht weiterführen wolle. Ebensowenig habe die Vorinstanz beachtet, dass der Beschwerdeführerin nicht klar gewesen sei, wer für die Arbeitseinsätze in der C.________ ihre Arbeitgeberin sein soll. Diese Behauptungen seien sodann unbestritten geblieben, weshalb diese tatsächlichen Elemente dem angefochtenen Entscheid zugrunde gelegt werden müssten. Die Vorinstanz verletzte Art. 9 BV und Art. 55 ZPO .</w:t>
      </w:r>
    </w:p>
    <w:p>
      <w:r>
        <w:rPr>
          <w:b/>
        </w:rPr>
        <w:t>E. 4.2</w:t>
      </w:r>
    </w:p>
    <w:p>
      <w:r>
        <w:t>Die Beschwerdeführerin verweist für diese tatsächlichen Vorbringen zwar auf ihre erstinstanzlichen Rechtsschriften und auf Aussagen in der erstinstanzlichen Hauptverhandlung. Sie zeigt aber nicht mit präzisen Aktenhinweisen auf, dass sie die entsprechenden rechtsrelevanten Tatsachen und tauglichen Beweismittel bei der Vorinstanz prozesskonform ins Verfahren eingebracht hätte. Sie genügt damit den oben genannten Anforderungen nicht, die an eine Sachverhaltsergänzung vor Bundesgericht gestellt werden (Erwägung 2.2).</w:t>
      </w:r>
    </w:p>
    <w:p>
      <w:r>
        <w:t>Ebenso geht die Rüge der Verletzung von Art. 55 ZPO fehl: Wäre die Beschwerdeführerin der Auffassung gewesen, der erstinstanzliche Sachverhalt sei unrichtig festgestellt worden, hätte sie dies vor der Vorinstanz beanstanden müssen ( Art. 310 lit. b ZPO ; vgl. Urteil 4A_288/2018 vom 29. Januar 2019 E. 3.1.3). Dass sie solches vor der Vorinstanz geltend gemacht hätte, ist aus dem vorinstanzlich festgestellten Sachverhalt nicht ersichtlich und die Beschwerdeführerin verlangt keine Ergänzung des Sachverhalts, zumindest keine hinreichende (Erwägung 2.2). Vor Bundesgericht ist die erstmalige Rüge der Verletzung von Art. 55 ZPO mangels Ausschöpfung des Instanzenzugs nicht mehr zulässig ( BGE 143 III 290 E. 1.1).</w:t>
      </w:r>
    </w:p>
    <w:p>
      <w:r>
        <w:rPr>
          <w:b/>
        </w:rPr>
        <w:t>E. 5.1</w:t>
      </w:r>
    </w:p>
    <w:p>
      <w:r>
        <w:t>Die Beschwerdeführerin moniert, die Vorinstanz sei zum Schluss gekommen, dass das fachliche Niveau der Beschwerdeführerin unter dem gelegen sei, was von einer promovierten Tierärztin im dritten Assistanzjahr erwartet werden könne. Bei dieser Beweiswürdigung sei die Vorinstanz in keiner Weise auf den Umstand eingegangen, dass die Beschwerdeführerin in erheblichem Umfang angeordnete Überstunden zu leisten gehabt habe und durch diese Arbeitsbedingungen belastet gewesen sei. Ebenso habe die Vorinstanz in der Beweiswürdigung nicht berücksichtigt, dass der Arbeitsmarkt im Bereich der Veterinärmedizin ausgetrocknet sei. Die Vorinstanz habe die Beweiswürdigung "rechtsfehlerhaft" unter Verletzung von Art. 157 ZPO vorgenommen.</w:t>
      </w:r>
    </w:p>
    <w:p>
      <w:r>
        <w:rPr>
          <w:b/>
        </w:rPr>
        <w:t>E. 5.2</w:t>
      </w:r>
    </w:p>
    <w:p>
      <w:r>
        <w:t>Die Vorinstanz kam in der Tat in einer Beweiswürdigung zum Ergebnis, dass das fachliche Niveau der Beschwerdeführerin unter dem gelegen sei, was von einer promovierten Tierärztin im dritten Assistenzjahr zu erwarten gewesen wäre. In diese Beweiswürdigung greift das Bundesgericht nur dann ein, wenn sie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Inwiefern die Beweiswürdigung willkürlich sein soll, ist in der Beschwerde klar und detailliert aufzuzeigen ( BGE 134 II 244 E. 2.2).</w:t>
      </w:r>
    </w:p>
    <w:p>
      <w:r>
        <w:t>Dass die Beweiswürdigung der Vorinstanz willkürlich wäre, macht die Beschwerdeführerin nicht geltend. Inwiefern Art. 157 ZPO verletzt sein soll, ist ebensowenig dargetan. Es ist im Übrigen auch nicht ersichtlich, inwiefern es offensichtlich unrichtig im gerade genannten Sinn sein sollte, wenn die Vorinstanz unter den vorliegenden Umständen ein fachliches Defizit bei der Beschwerdeführerin feststellte.</w:t>
      </w:r>
    </w:p>
    <w:p>
      <w:r>
        <w:rPr>
          <w:b/>
        </w:rPr>
        <w:t>E. 6.1</w:t>
      </w:r>
    </w:p>
    <w:p>
      <w:r>
        <w:t>Die Beschwerdeführerin rügt eine Verletzung von Art. 336 OR . Sie habe als Arbeitnehmerin nach Ablauf der Probezeit darauf vertrauen dürfen, dass auch im Falle von noch nicht ausreichenden Leistungen das Arbeitsverhältnis fortgesetzt und durch die Arbeitgeberin hinreichende Vorkehrungen getroffen würden, um der Arbeitnehmerin die Möglichkeit zur Weiterentwicklung und Behebung der Leistungsdefizite zu geben. Dazu gehörten beispielsweise regelmässige Qualifikationsgespräche mit Mitarbeitenden sowie eine nachvollziehbare Dokumentation der zugrundeliegenden Beobachtungen und der daraus abgeleiteten Ziel- und Entwicklungsvereinbarungen. Vorliegend habe die Beschwerdegegnerin nichts Derartiges unternommen. Es seien keine Bemühungen der Beschwerdegegnerin nachgewiesen, die aufzeigten, dass unter Einbezug der Beschwerdeführerin nach einer Lösung für die ihr vorgeworfenen Leistungsdefizite gesucht worden sei. Damit habe die Beschwerdegegnerin das Gebot der schonenden Rechtsausübung in schwerwiegender Weise verletzt und sei ihrer Fürsorgepflicht nicht hinreichend nachgekommen. Dies mache die Kündigung missbräuchlich im Sinne von Art. 336 Abs. 1 lit. d OR .</w:t>
      </w:r>
    </w:p>
    <w:p>
      <w:r>
        <w:rPr>
          <w:b/>
        </w:rPr>
        <w:t>E. 6.2</w:t>
      </w:r>
    </w:p>
    <w:p>
      <w:r>
        <w:t>Die Vorinstanz ging ausführlichst auf die Frage der Missbräuchlichkeit der Kündigung ein (angefochtener Entscheid S. 18 - 26). Sie kam zusammengefasst zum Ergebnis, der Beschwerdeführerin sei gekündigt worden, weil ihre Arbeitsleistung ungenügend gewesen sei. Die Beschwerdeführerin habe zwar Ansprüche aus dem Arbeitsverhältnis i.S.v. Art. 336 Abs. 1 lit. d OR geltend gemacht. Dies sei aber für die Kündigung nicht ausschlaggebend gewesen. Die Kündigung sei damit nicht missbräuchlich.</w:t>
      </w:r>
    </w:p>
    <w:p>
      <w:r>
        <w:t>Mit diesen Erwägungen setzt sich die Beschwerdeführerin nicht hinreichend auseinander (Erwägung 2.1), noch zeigt sie rechtsgenüglich auf, inwiefern diese Erwägungen bundesrechtswidrig wären. Insbesondere zeigt sie solches nicht nachvollziehbar auf, indem sie ohne Weiteres behauptet, die Kündigung sei missbräuchlich, weil die Beschwerdeführerin Überstunden geleistet habe, der Arbeitsmarkt für Tiermediziner ausgetrocknet sei oder sich die Beschwerdegegnerin gegenüber der Beschwerdeführerin nicht um die "Schaffung angemessener Möglichkeiten zur Weiterentwicklung und Behebung der Leistungsdefizite" bemühte habe, zumal die Beschwerdegegnerin aufgrund des ausgetrockneten Arbeitsmarktes gerade versuchte, der Beschwerdeführerin eine Chance zu geben, ihre praktischen Fähigkeiten durch eine Reduktion des Arbeitspensums und einen Einsatz in der C.________ zu verbessern.</w:t>
      </w:r>
    </w:p>
    <w:p>
      <w:r>
        <w:rPr>
          <w:b/>
        </w:rPr>
        <w:t>E. 7</w:t>
      </w:r>
    </w:p>
    <w:p>
      <w:r>
        <w:t>Die Beschwerdeführerin verlangt schliesslich eine andere Verlegung der kantonalen Kosten- und Entschädigungsfolgen für den Fall, dass sich ihre Beschwerde als begründet erweise. Da die Beschwerde nach dem Gesagten nicht gutgeheissen werden kann, erübrigt sich auch eine andere Verlegung der kantonalen Verfahrenskosten.</w:t>
      </w:r>
    </w:p>
    <w:p>
      <w:r>
        <w:rPr>
          <w:b/>
        </w:rPr>
        <w:t>E. 8</w:t>
      </w:r>
    </w:p>
    <w:p>
      <w:r>
        <w:t>Die Beschwerde ist nach dem Ausgeführten abzuweisen, soweit darauf überhaupt eingetreten werden kann.</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