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59/2011 vom 8. August 2011</w:t>
      </w:r>
    </w:p>
    <w:p>
      <w:r>
        <w:t>Bundesgericht, 2011-08-08, DE</w:t>
      </w:r>
    </w:p>
    <w:p>
      <w:r>
        <w:rPr>
          <w:b/>
        </w:rPr>
        <w:t xml:space="preserve">Quelle: </w:t>
      </w:r>
      <w:r>
        <w:t>https://mcp.opencaselaw.ch/entscheid/bger_4A_59_2011</w:t>
      </w:r>
    </w:p>
    <w:p>
      <w:r>
        <w:t>FR: TF 4A 59/2011 du 8 août 2011</w:t>
      </w:r>
    </w:p>
    <w:p>
      <w:r>
        <w:t>IT: TF 4A 59/2011 del 8 agosto 2011</w:t>
      </w:r>
    </w:p>
    <w:p>
      <w:pPr>
        <w:pStyle w:val="Heading2"/>
      </w:pPr>
      <w:r>
        <w:t>Regeste</w:t>
      </w:r>
    </w:p>
    <w:p>
      <w:r>
        <w:t>Abschreibung [4A_59/2011] | Immaterialgüter-, Wettbewerbs- und Kartellrecht</w:t>
      </w:r>
    </w:p>
    <w:p>
      <w:pPr>
        <w:pStyle w:val="Heading2"/>
      </w:pPr>
      <w:r>
        <w:t>Erwägungen</w:t>
      </w:r>
    </w:p>
    <w:p>
      <w:r>
        <w:rPr>
          <w:b/>
        </w:rPr>
        <w:t>E. 1</w:t>
      </w:r>
    </w:p>
    <w:p>
      <w:r>
        <w:t>Die Beschwerdeführer fechten lediglich den Kosten- und Entschädigungsentscheid an. In der Sache geht es um die Abschreibung eines Rekurses gegen die Anordnung vorsorglicher Massnahmen. Nach Art. 98 BGG kann mit der Beschwerde gegen Entscheide über vorsorgliche Massnahmen nur die Verletzung verfassungsmässiger Rechte gerügt werden. Diese Beschränkung gilt auch für die Anfechtung von Nebenpunkten wie die Kosten- und Entschädigungsregelung von Entscheiden über vorsorgliche Massnahmen. Nach Art. 106 Abs. 2 BGG prüft das Bundesgericht die Verletzung von Grundrechten nur insofern, als eine solche Rüge in der Beschwerde vorgebracht und begründet worden ist. Der Beschwerdeführer muss klar und detailliert anhand der Erwägungen des angefochtenen Entscheids darlegen, inwiefern verfassungsmässige Rechte verletzt worden sein sollen ( BGE 136 I 65 E. 1.3.1 ; 134 I 83 E. 3.2; 134 V 138 E. 2.1; 133 II 396 E. 3.1 S. 399; 133 III 589 E. 2 S. 591 f.; je mit Hinweisen). Macht der Beschwerdeführer beispielsweise eine Verletzung von Art. 9 BV geltend, genügt es nicht, wenn er einfach behauptet, der angefochtene Entscheid sei willkürlich. Er hat vielmehr im Einzelnen aufzuzeigen, inwiefern der angefochtene Entscheid offensichtlich unhaltbar ist ( BGE 134 II 349 E. 3 S. 352 ; 133 I 1 E. 5.5 S. 5 ; 130 I 258 E. 1.3 S. 262). Auf Rügen, die diese Begründungsanforderungen nicht erfüllen, ist nicht einzutreten. Die Beschwerdeführer machen eine "willkürliche Sachverhaltsfeststellung und unrichtige Rechtsanwendung" geltend. Die einzig zulässige Willkürrüge wird jedoch nicht rechtsgenüglich begründet, weshalb darauf nicht eingetreten werden kann.</w:t>
      </w:r>
    </w:p>
    <w:p>
      <w:r>
        <w:rPr>
          <w:b/>
        </w:rPr>
        <w:t>E. 2</w:t>
      </w:r>
    </w:p>
    <w:p>
      <w:r>
        <w:t>Bei diesem Verfahrensausgang werden die Beschwerdeführer (in solidarischer Haftbarkeit) für das bundesgerichtliche Beschwerdeverfahren kosten- und entschädigungspflichtig (Art. 66 Abs. 1 und 5 sowie Art. 68 Abs. 2 und 4 BGG ). Eine Beschwerdeantwort wurde nicht eingeholt. Der Beschwerdegegnerin ist insofern kein Aufwand erwachsen. Hingegen liess sie sich zum Gesuch um aufschiebende Wirkung vernehmen, wofür sie mit Fr. 1'000.--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