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4A_59/2008 vom 20. Juni 2008</w:t>
      </w:r>
    </w:p>
    <w:p>
      <w:r>
        <w:t>Bundesgericht, 2008-06-20, DE</w:t>
      </w:r>
    </w:p>
    <w:p>
      <w:r>
        <w:rPr>
          <w:b/>
        </w:rPr>
        <w:t xml:space="preserve">Quelle: </w:t>
      </w:r>
      <w:r>
        <w:t>https://mcp.opencaselaw.ch/entscheid/bger_4A_59_2008</w:t>
      </w:r>
    </w:p>
    <w:p>
      <w:r>
        <w:t>FR: TF 4A_59/2008 du 20 juin 2008</w:t>
      </w:r>
    </w:p>
    <w:p>
      <w:r>
        <w:t>IT: TF 4A_59/2008 del 20 giugno 2008</w:t>
      </w:r>
    </w:p>
    <w:p>
      <w:pPr>
        <w:pStyle w:val="Heading2"/>
      </w:pPr>
      <w:r>
        <w:t>Erwägungen</w:t>
      </w:r>
    </w:p>
    <w:p>
      <w:r>
        <w:rPr>
          <w:b/>
        </w:rPr>
        <w:t>E. 1</w:t>
      </w:r>
    </w:p>
    <w:p>
      <w:r>
        <w:t>Nach Art. 102 Abs. 3 BGG findet in der Regel kein zweiter Schriftenwechsel statt. Ausnahmsweise kann sich rechtfertigen, dem Beschwerdeführer zur Wahrung des rechtlichen Gehörs die Gelegenheit einzuräumen, sich zur Vernehmlassung der Gegenpartei zu äussern, etwa dann, wenn die Vernehmlassung prozessual zulässige und für den Verfahrensausgang wesentliche Aspekte enthält, was freilich erst nach Zustellung der Vernehmlassung beurteilt werden kann. In der Beschwerde selbst gestellte Anträge auf Durchführung eines zweiten Schriftenwechsels sind daher verfrüht (Ulrich Meyer, Basler Kommentar, N. 20 und 22 zu Art. 102 BGG ). Wird die Eingabe einer Partei ohne ausdrücklichen Hinweis auf allfällige weitere Äusserungsmöglichkeiten zur (blossen) Kenntnisnahme übermittelt, soll der Empfänger, der zu einer solchen Eingabe nochmals Stellung nehmen will, dies aus Gründen des Zeitgewinns umgehend tun, ohne vorher um Fristansetzung nachzusuchen ( BGE 133 I 98 E. 2.2 S. 99 f.). Dem ohne Begründung gestellten Antrag auf Anordnung eines zweiten Schriftenwechsels ist daher nicht stattzugeben, zumal die Beschwerdeantwort keinerlei prozessual zulässige Ausführungen enthält, die Weiterungen erfordern würden und die Beschwerdeführer es denn auch unterlassen haben, nach erfolgter Zustellung zur Kenntnisnahme eine Replik einzureichen.</w:t>
      </w:r>
    </w:p>
    <w:p>
      <w:r>
        <w:rPr>
          <w:b/>
        </w:rPr>
        <w:t>E. 2</w:t>
      </w:r>
    </w:p>
    <w:p>
      <w:r>
        <w:t>Im kantonalen Verfahren war zur Hauptsache die Berechtigung der Beschwerdegegner zum Rücktritt vom Vertrag umstritten. Zu Recht unangefochten blieb die Auffassung der Vorinstanz, wonach es sich bei der einschlägigen Klausel gemäss Ziff. 8 der (undatierten) "Besonderen Bestimmungen zum Mietvertrag" um eine Bedingung handelt, bei deren Eintritt der Mieter zum Rücktritt vom Vertrag berechtigt ist ( Art. 154 OR ). Die Vorinstanz gelangte in Auslegung der vereinbarten "Rücktrittsklausel", wonach der Vertrag als aufgelöst gilt, "falls die kantonale Gesundheitsdirektion und der kantonale Verband bernischer Krankenversicherer die Bewilligung verweigern", zum Ergebnis, die Voraussetzung für den Rücktritt vom Vertrag sei mit der abschlägigen Reaktion der GEF und des KVBK eingetreten, der Rücktritt innert Frist erklärt und der Mietvertrag damit dahin gefallen.</w:t>
      </w:r>
    </w:p>
    <w:p>
      <w:r>
        <w:rPr>
          <w:b/>
        </w:rPr>
        <w:t>E. 3</w:t>
      </w:r>
    </w:p>
    <w:p>
      <w:r>
        <w:t>Die Beschwerdeführer geben diese Auslegung als bundesrechtswidrig, namentlich als in Verletzung von Art. 2 ZGB zustande gekommen aus, und sie rügen Tatsachenfeststellungen als aktenwidrig und willkürlich.</w:t>
      </w:r>
    </w:p>
    <w:p>
      <w:r>
        <w:rPr>
          <w:b/>
        </w:rPr>
        <w:t>E. 3.1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III 545 E. 2.2 S. 550; 133 II 249 E. 1.4.1 S. 254, je mit Hinweis).</w:t>
      </w:r>
    </w:p>
    <w:p>
      <w:r>
        <w:rPr>
          <w:b/>
        </w:rPr>
        <w:t>E. 3.2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Wer sich auf eine Ausnahme von der Bindung des Bundesgerichts an die tatsächlichen Feststellungen der Vorinstanz beruft und den Sachverhalt gestützt darauf berichtigt oder ergänzt wissen will, muss in der Beschwerdeschrift substanziiert darlegen, inwiefern die Voraussetzungen gemäss Art. 105 Abs. 2 BGG gegeben sind ( BGE 133 III 462 E. 2.4 S. 466) und mit Aktenhinweisen aufzeigen, dass er entsprechende rechtsrelevante Tatsachen und taugliche Beweismittel bereits bei den Vorinstanzen genannt hat (vgl. Botschaft zur Totalrevision der Bundesrechtspflege, BBl 2001 S. 4339). Neue Vorbringen sind nur zulässig, soweit erst der angefochtene Entscheid dazu Anlass gibt ( Art. 99 Abs. 1 BGG ), was wiederum näher darzulegen ist ( BGE 133 III 393 E. 3 S. 395). Ergänzungen des Sachverhalts haben nur zu erfolgen, soweit sie entscheidwesentliche Tatsachen betreffen ( Art. 97 Abs. 1 BGG ; BGE 133 III 350 E. 1.3 S. 351 mit Hinweisen).</w:t>
      </w:r>
    </w:p>
    <w:p>
      <w:r>
        <w:rPr>
          <w:b/>
        </w:rPr>
        <w:t>E. 3.3</w:t>
      </w:r>
    </w:p>
    <w:p>
      <w:r>
        <w:t>Soweit die Beschwerdeführer in ihre ausführliche Sachverhaltswiedergabe ohne nähere Begründung Elemente einfliessen lassen, die im angefochtenen Urteil keine Stütze finden, sind sie damit nicht zu hören. Ebenso haben die weitschweifigen allgemeinen Ausführungen, in denen die Beschwerdeführer dem Bundesgericht unter Vermischung rechtlicher und tatsächlicher Aspekte ihre eigene Sicht der Dinge unterbreiten, ausser Acht zu bleiben, soweit ihnen nicht substanziierte Sachverhaltsrügen oder relevante Kritik an der Rechtsanwendung durch die Vorinstanz zu entnehmen ist.</w:t>
      </w:r>
    </w:p>
    <w:p>
      <w:r>
        <w:rPr>
          <w:b/>
        </w:rPr>
        <w:t>E. 4.1</w:t>
      </w:r>
    </w:p>
    <w:p>
      <w:r>
        <w:t>Die Vorinstanz prüfte, ob die Beschwerdeführer die Beschwerdegegner bei der Einschätzung behaften durften, wonach das Risiko der Bewilligungsverweigerung 1-2 % betrage wie bei üblichen Berufsausübungsbewilligungen und Kassenzulassungen für Einzelpersonen, welche die Voraussetzungen erfüllen. Die Vorinstanz stellte dazu fest, es sei davon auszugehen, dass das "Schadensrisiko" im Zeitpunkt des Abschlusses des Vertrags - anders als noch bei Zustellung des Vorvertrages - für die Beschwerdeführer nicht mehr wesentlich gewesen sei, denn andernfalls hätten sie es auch im Hauptvertrag erwähnt. Zudem hätten die Beschwerdeführer aufgrund der erhaltenen Unterlagen, namentlich des Betriebskonzepts vom 24. Mai 1999, gewusst, dass es den Beschwerdegegnern darum gegangen sei, ihr H.________ Betriebskonzept in Bern zu verwirklichen und dass die Gesuche bei der GEF und beim KVBK auf diesem Konzept beruhten. Es sei offensichtlich gewesen, dass die drei gemieteten Stockwerke nicht von einzelnen Gesundheitspersonen, sondern von einer Institution belegt werden sollten. Die Beschwerdegegner hätten die Verträge mit der handschriftlich um den Fall der Bewilligungsverweigerung durch den KVBK ergänzten Rücktrittsklausel, ohne welche sie nicht zum Vertragsschluss bereit gewesen wären, erst zu einem Zeitpunkt unterzeichnet, als die Verfahren bereits einige Wochen hängig gewesen seien. Vor diesem Hintergrund gelangte die Vorinstanz zum rechtlichen Schluss, die Beschwerdeführer hätten spätestens, als die Beschwerdegegner die Rücktrittsklausel um die Bewilligung des KVBK ergänzten, erkennen müssen, dass die Beschwerdegegner nicht wegen des 1-2 % betragenden Restrisikos zögerten, den Mietvertrag abzuschliessen. Sie hätten nach Treu und Glauben weder annehmen dürfen, dass es den Beschwerdegegnern einzig darum ging, sich gegen das Risiko der Verweigerung der üblichen Berufsausübungsbewilligung und Kassenzulassung abzusichern noch dass die Beschwerdegegner in Kauf genommen hätten, das Betriebskonzept abzuändern, um die Chancen der Erlangung der Bewilligung zu erhöhen.</w:t>
      </w:r>
    </w:p>
    <w:p>
      <w:r>
        <w:rPr>
          <w:b/>
        </w:rPr>
        <w:t>E. 4.2</w:t>
      </w:r>
    </w:p>
    <w:p>
      <w:r>
        <w:t>Die Beschwerdeführer rügen, im Hinblick darauf, dass die Beschwerdegegner am 6. Juli 1999 schliesslich nicht nur den Mietvertrag, sondern auch den Vorvertrag mit der ursprünglichen Formulierung der Rücktrittsklausel und der quantitativen Erwähnung des Risikos unterzeichnet haben, sei die Annahme der Vorinstanz, für die Beschwerdeführer sei das "Schadensrisiko" bei Vertragsschluss nicht mehr wesentlich gewesen, willkürlich. Der Vorvertrag habe seine Bedeutung im Verhältnis zum Hauptvertrag insoweit behalten, als er detailliertere Regeln umfasst habe (Restrisiko 1-2 %; Verschulden der Antragsteller) als der nachfolgende Vertrag. In der Zeit zwischen der Redaktion des Vor- und des Hauptvertrages habe sich für die Beschwerdeführer nichts verändert. Die Rücktrittsklausel gemäss Vorvertrag sei daher nach wie vor relevant gewesen.</w:t>
      </w:r>
    </w:p>
    <w:p>
      <w:r>
        <w:rPr>
          <w:b/>
        </w:rPr>
        <w:t>E. 4.3.1</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132 III 268 E. 2.3.2 S. 274 mit Hinweisen). Steht eine tatsächliche Willensübereinstimmung fest, bleibt für eine Auslegung nach dem Vertrauensgrundsatz kein Raum ( BGE 132 III 626 E. 3.1 S. 632;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4.3.2</w:t>
      </w:r>
    </w:p>
    <w:p>
      <w:r>
        <w:t>Ob der Vorvertrag nach Abschluss des Mietvertrags überhaupt noch Bestand haben kann, nachdem die Beschwerdeführer das unterschriftliche Einverständnis der Beschwerdegegner dazu erbaten, "damit der Mietvertrag ausgestellt werden kann", erscheint an sich schon fraglich, braucht aber nicht vertieft zu werden. So oder anders ist offensichtlich, dass es die Beschwerdeführer waren, welche auf einen Vertragsschluss drängten, die Verträge ausarbeiteten und der Gegenpartei zur Unterzeichnung vorlegten. Die Beschwerdegegner haben den Vorvertrag vom 4. Juni 1999 vorerst nicht unterschrieben zurückgesandt. In diesem Umstand konnte die Vorinstanz bundesrechtskonform ein Motiv erblicken, das die Beschwerdeführer am 11. Juni 1999 zur neuen Abfassung einer Rücktrittsklausel unter für die Beschwerdegegner weniger einschränkenden Bedingungen veranlasste. Wenn die Vorinstanz bei der Beweiswürdigung davon ausging, die später von den Beschwerdeführern ohne Hinweis auf ein bestimmtes Risiko formulierte Rücktrittsklausel bedeute, dass die Beschwerdeführer selbst dem Restrisiko keine vertragsrelevante Bedeutung mehr zumassen, verfiel sie daher nicht in Willkür. Mithin steht fest, dass sich die Parteien in diesem Punkt tatsächlich richtig verstanden haben, so dass auf die Ausführungen der Beschwerdeführer zur normativen Auslegung nicht einzutreten ist.</w:t>
      </w:r>
    </w:p>
    <w:p>
      <w:r>
        <w:rPr>
          <w:b/>
        </w:rPr>
        <w:t>E. 5</w:t>
      </w:r>
    </w:p>
    <w:p>
      <w:r>
        <w:t>Weiter machen die Beschwerdeführer geltend, die Vorinstanz sei aktenwidrig und damit willkürlich von einem von Anfang an klar definierten und deklarierten Tagespauschalsystem ausgegangen.</w:t>
      </w:r>
    </w:p>
    <w:p>
      <w:r>
        <w:rPr>
          <w:b/>
        </w:rPr>
        <w:t>E. 5.1</w:t>
      </w:r>
    </w:p>
    <w:p>
      <w:r>
        <w:t>Soweit der Rüge angesichts der fehlenden Vertragsrelevanz des Restrisikos überhaupt Bedeutung zukommen kann, ist sie im Ansatz verfehlt, stellt doch die Vorinstanz gegenteils fest, ein Hinweis auf den Abrechnungsmodus in Tagespauschalen finde sich in dem den Beschwerdeführern übergebenen Betriebskonzept nicht (E. III/A/9 S. 8 des angefochtenen Urteils). Indessen wird, wie aus dem angefochtenen Urteil weiter hervorgeht, im Betriebskonzept erwähnt, dass mit dem Verband H.________ Krankenversicherer ein Vertrag ausgearbeitet wurde. Wenn in Bern ein Zentrum mit denselben Leistungen eingerichtet werden sollte, was die Beschwerdeführer wussten, lag es nahe, dass für die Führung eines Gesundheitszentrums auch mit den Berner Krankenversicherern ein entsprechender Vertrag ausgehandelt werden musste, dass es also um etwas anderes als um die routinemässige Zulassung der einzelnen Ärzte zu den Kassenleistungen ging. Dass die Beschwerdeführer, hätten sie das Betriebskonzept mit der erforderlichen Aufmerksamkeit gelesen, dies nicht hätten erkennen können, machen sie nicht substanziiert geltend. Demnach mussten sie aber auch damit rechnen, dass die Vertragsverhandlungen mit dem KVBK ihr Ziel verfehlen könnten. Vor diesem Hintergrund ist auch der Willkürrüge gegen die Feststellung, die Parteien hätten den Begriff "Bewilligung" in der Rücktrittsklausel nicht in einem juristisch-technischen Sinn verstanden, der Boden entzogen.</w:t>
      </w:r>
    </w:p>
    <w:p>
      <w:r>
        <w:rPr>
          <w:b/>
        </w:rPr>
        <w:t>E. 5.2</w:t>
      </w:r>
    </w:p>
    <w:p>
      <w:r>
        <w:t>Dass die Beschwerdeführer nicht genau wussten, dass für die Beschwerdegegner die Möglichkeit, in Tagespauschalen abzurechnen, einen wesentlichen Aspekt des Gesamtkonzepts bildete, wie die Vorinstanz festhält (E. III/B/1/j S. 16), ist nicht entscheiderheblich. Da die Beschwerdegegner die Rücktrittsklausel um den KVBK ergänzten und erst unterzeichneten, als die Bewilligungsverfahren bereits einige Wochen hängig waren, schloss die Vorinstanz bundesrechtskonform, den Beschwerdeführern hätte klar sein müssen, dass die Beschwerdegegner nicht lediglich gegen ein vernachlässigbares Risiko (Verweigerung üblicher Einzelbewilligung bei gegebenen Voraussetzungen) geschützt sein wollten. Die weitschweifigen Ausführungen der Beschwerdeführer zum Tarif-Rendite-Risiko gehen an der Sache vorbei.</w:t>
      </w:r>
    </w:p>
    <w:p>
      <w:r>
        <w:rPr>
          <w:b/>
        </w:rPr>
        <w:t>E. 6</w:t>
      </w:r>
    </w:p>
    <w:p>
      <w:r>
        <w:t>Insgesamt erweist sich die Beschwerde als unbegründet und ist abzuweisen, soweit darauf einzutreten ist. Bei diesem Verfahrensausgang werden die Beschwerdeführer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