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599/2013 vom 17. März 2015</w:t>
      </w:r>
    </w:p>
    <w:p>
      <w:r>
        <w:t>Bundesgericht, 2015-03-17, IT</w:t>
      </w:r>
    </w:p>
    <w:p>
      <w:r>
        <w:rPr>
          <w:b/>
        </w:rPr>
        <w:t xml:space="preserve">Quelle: </w:t>
      </w:r>
      <w:r>
        <w:t>https://mcp.opencaselaw.ch/entscheid/bger_4A_599_2013</w:t>
      </w:r>
    </w:p>
    <w:p>
      <w:r>
        <w:t>FR: TF 4A 599/2013 du 17 mars 2015</w:t>
      </w:r>
    </w:p>
    <w:p>
      <w:r>
        <w:t>IT: TF 4A 599/2013 del 17 marzo 2015</w:t>
      </w:r>
    </w:p>
    <w:p>
      <w:pPr>
        <w:pStyle w:val="Heading2"/>
      </w:pPr>
      <w:r>
        <w:t>Regeste</w:t>
      </w:r>
    </w:p>
    <w:p>
      <w:r>
        <w:t>contratto di lavoro; responsabilità del lavoratore | Diritto contrattuale</w:t>
      </w:r>
    </w:p>
    <w:p>
      <w:pPr>
        <w:pStyle w:val="Heading2"/>
      </w:pPr>
      <w:r>
        <w:t>Erwägungen</w:t>
      </w:r>
    </w:p>
    <w:p>
      <w:r>
        <w:rPr>
          <w:b/>
        </w:rPr>
        <w:t>E. 1</w:t>
      </w:r>
    </w:p>
    <w:p>
      <w:r>
        <w:t>La tempestiva ( art. 100 cpv. 1 LTF ) impugnativa è stata proposta dalla parte - parzialmente - soccombente nella sede cantonale ( art. 76 cpv. 1 lett. a LTF ) contro una decisione finale ( art. 90 LTF ) pronunciata su ricorso dall'autorità di ultima istanza del Cantone Ticino ( art. 75 LTF ) in una causa civile in materia di diritto del lavoro. Il valore litigioso supera la soglia di fr. 15'000.-- prevista dall' art. 74 cpv. 1 lett. a LTF . Il ricorso in materia civile è quindi in linea di principio ammissibile.</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 art. 321e cpv. 1 CO rende il lavoratore responsabile del danno che cagiona al datore di lavoro intenzionalmente o per negligenza. Il cpv. 2 precisa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che il datore di lavoro conosceva o avrebbe dovuto conoscere. Le condizioni della responsabilità sono quelle usuali dell' art. 97 cpv. 1 CO : il datore di lavoro deve provare la violazione del contratto, il danno e il nesso di causalità naturale e adeguato, mentre la colpa è invece presunta e tocca quindi al lavoratore dimostrare di esserne esente (sentenza 4C.195/2004 del 7 settembre 2004 consid. 2.1, in RtiD 2005 I pag. 820).</w:t>
      </w:r>
    </w:p>
    <w:p>
      <w:r>
        <w:rPr>
          <w:b/>
        </w:rPr>
        <w:t>E. 3.1.1</w:t>
      </w:r>
    </w:p>
    <w:p>
      <w:r>
        <w:t>La Corte cantonale ha constatato che, prima di finire in cassa per la registrazione contabile, le somme ricevute in contanti dall'attore venivano (almeno in parte) messe in un'apposita "cassetta" a cui avevano accesso anche altri dipendenti e che dalle deposizioni dei testi C.________ e D.________ emerge pure che il sistema messo in atto dal datore di lavoro per l'incasso di contanti non permette di risalire con certezza ai vari passaggi che tale denaro effettuava. Essa ha quindi ritenuto che la convenuta non ha apportato la prova che il lamentato ammanco andava imputato all'attore, non risultando che gli importi incassati da quest'ultimo siano rimasti in suo possesso.</w:t>
      </w:r>
    </w:p>
    <w:p>
      <w:r>
        <w:rPr>
          <w:b/>
        </w:rPr>
        <w:t>E. 3.1.2</w:t>
      </w:r>
    </w:p>
    <w:p>
      <w:r>
        <w:t>La ricorrente afferma invece che la domanda riconvenzionale attinente al rimborso degli importi che non le sarebbero stati trasmessi dall'opponente doveva essere accolta, poiché essa avrebbe fornito la prova che il suo dipendente aveva incassato tali somme di denaro, ma non gliele aveva riversate.</w:t>
      </w:r>
    </w:p>
    <w:p>
      <w:r>
        <w:rPr>
          <w:b/>
        </w:rPr>
        <w:t>E. 3.1.3</w:t>
      </w:r>
    </w:p>
    <w:p>
      <w:r>
        <w:t>L'argomentazione ricorsuale - meramente appellatoria - non soddisfa le esigenze poste dall' art. 106 cpv. 2 LTF ad una censura diretta contro gli accertamenti di fatto dell'autorità cantonale (sopra, consid. 2). Infatti, da un lato, essa si fonda su dichiarazioni che sarebbero state rese dall'opponente, senza però indicare in quali atti queste sarebbero riscontrabili e, dall'altro, è incentrata sul fatto che sono stati incassati degli importi a contanti che non sono stati consegnati alla cassiera. Tuttavia tale circostanza è inidonea per confutare l'accertamento della sentenza impugnata secondo cui una parte dei contanti veniva messa, prima di giungere alla cassa, in una cassetta accessibile a diversi lavoratori. Né adempie i severi requisiti di motivazione previsti dalla menzionata disposizione l'apodittica aggiunta secondo cui sarebbe " inoltre pacifico che i soldi mancanti non sono neppure stati riversati nella cassetta presente in officina ". Ne segue che il ricorso si rivela inammissibile su questo punto.</w:t>
      </w:r>
    </w:p>
    <w:p>
      <w:r>
        <w:rPr>
          <w:b/>
        </w:rPr>
        <w:t>E. 3.2.1</w:t>
      </w:r>
    </w:p>
    <w:p>
      <w:r>
        <w:t>Con riferimento alle pratiche attinenti ai lavori di garanzia, la Corte cantonale ha rilevato che la datrice di lavoro non aveva provato quali compiti e responsabilità avesse affidato all'attore, assunto quale " capo meccanico responsabile del servizio dopo vendita ". La convenuta non aveva in particolare spiegato la sua struttura aziendale e i ruoli assegnati ai vari dipendenti, né se rimproverava all'attore una cattiva esecuzione del lavoro per mancato rispetto delle istruzioni ricevute o un inadeguato esercizio del potere decisionale. Da queste circostanze l'autorità inferiore ha dedotto che la convenuta non era nemmeno riuscita a dimostrare una violazione di doveri contrattuali. I Giudici d'appello hanno aggiunto che una responsabilità dell'attore va pure esclusa in seguito alla passività dimostrata dalla convenuta. Infatti, già 5 anni prima del termine del rapporto di lavoro, questa ha riscontrato la gestione inadeguata dei rimborsi legati ai casi di garanzia, ma ha lasciato proseguire il dipendente senza interessarsi ai crescenti problemi. La Corte cantonale ha pure negato la possibilità di accordare alla convenuta un risarcimento del preteso danno per il lasso di tempo anteriore a quello in cui è venuta a conoscenza dei problemi nella conduzione delle menzionate pratiche, perché non vi sono elementi che permettono di stabilire quali fatture di quel periodo non sarebbero state pagate.</w:t>
      </w:r>
    </w:p>
    <w:p>
      <w:r>
        <w:rPr>
          <w:b/>
        </w:rPr>
        <w:t>E. 3.2.2</w:t>
      </w:r>
    </w:p>
    <w:p>
      <w:r>
        <w:t>La ricorrente afferma di aver sempre sostenuto che all'opponente spettassero anche dei compiti di tipo amministrativo e gestionale, quali la trattazione dei casi di garanzia, e riconosce di apparire negligente per aver continuato ad affidargli tale incarico. Sostiene tuttavia che questo fatto giustifichi, come considerato dal Pretore, unicamente una riduzione del 60 % della pretesa di risarcimento. La decisione di liberare da ogni responsabilità l'attore violerebbe invece gli art. 44 e 321e cpv. 2 CO .</w:t>
      </w:r>
    </w:p>
    <w:p>
      <w:r>
        <w:rPr>
          <w:b/>
        </w:rPr>
        <w:t>E. 3.2.3</w:t>
      </w:r>
    </w:p>
    <w:p>
      <w:r>
        <w:t>Giova rilevare che non sussiste una violazione contrattuale, se il datore di lavoro ordina o tollera senza opporvisi gli atti del lavoratore che hanno causato il danno ( STREIFF/VON KAENEL/RUDOLPH, Arbeitsvertrag, Praxiskommentar zu Art. 319-362 OR ; 7aed. 2012, pag. 253; ADRIAN STAEHELIN, Commento zurighese, n. 28 ad art. 321e CO ). Nella fattispecie, riferendosi alla seconda motivazione della sentenza impugnata, la ricorrente contesta di non essersi interessata ai problemi sorti nel disbrigo dei casi di garanzia e afferma di aver sollecitato il proprio dipendente, dal quale aveva ricevuto risposte tranquillizzanti non seguite dai fatti. Tuttavia, delle direttive puramente formali, che non sono accompagnate da alcuna misura che ne assicura l'osservanza, sono insufficienti e vengono parificate dalla giurisprudenza alla tolleranza del comportamento formalmente criticato (cfr. con riferimento al lavoro notturno sentenza 4A_434/2013 del 19 dicembre 2013 consid. 4.2.2). Ora, limitandosi ad invocare una fiducia malriposta nel suo capo meccanico, nemmeno la ricorrente sostiene che le sue direttive non avessero un mero carattere formale, ma che essa aveva preso delle misure affinché venissero effettivamente rispettate. Ne segue che, contrariamente a quanto sostenuto nel gravame, la Corte cantonale non ha violato il diritto federale per aver escluso un risarcimento danni a causa della passività della ricorrente. Così stando le cose non occorre esaminare se la prima motivazione della sentenza impugnata, riferita ai compiti che il contratto affidava al lavoratore sia pure conforme al diritto federale.</w:t>
      </w:r>
    </w:p>
    <w:p>
      <w:r>
        <w:rPr>
          <w:b/>
        </w:rPr>
        <w:t>E. 4</w:t>
      </w:r>
    </w:p>
    <w:p>
      <w:r>
        <w:t>Da quanto precede discende che il ricorso si appalesa, nella misura in cui è ammissibile, infondato. Le spese giudiziarie e le ripetibili seguono la soccombenza (art. 66 cpv. 1 e 68 cpv. 1 LTF). In tali circostanze la domanda di assistenza giudiziaria dell'opponente vincente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