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599/2010 vom 14. Februar 2011</w:t>
      </w:r>
    </w:p>
    <w:p>
      <w:r>
        <w:t>Bundesgericht, 2011-02-14, FR</w:t>
      </w:r>
    </w:p>
    <w:p>
      <w:r>
        <w:rPr>
          <w:b/>
        </w:rPr>
        <w:t xml:space="preserve">Quelle: </w:t>
      </w:r>
      <w:r>
        <w:t>https://mcp.opencaselaw.ch/entscheid/bger_4A_599_2010</w:t>
      </w:r>
    </w:p>
    <w:p>
      <w:r>
        <w:t>FR: TF 4A 599/2010 du 14 février 2011</w:t>
      </w:r>
    </w:p>
    <w:p>
      <w:r>
        <w:t>IT: TF 4A 599/2010 del 14 febbraio 2011</w:t>
      </w:r>
    </w:p>
    <w:p>
      <w:pPr>
        <w:pStyle w:val="Heading2"/>
      </w:pPr>
      <w:r>
        <w:t>Regeste</w:t>
      </w:r>
    </w:p>
    <w:p>
      <w:r>
        <w:t>contrat d'entreprise; solidarité; cession de créance | Droit des contrats</w:t>
      </w:r>
    </w:p>
    <w:p>
      <w:pPr>
        <w:pStyle w:val="Heading2"/>
      </w:pPr>
      <w:r>
        <w:t>Erwägungen</w:t>
      </w:r>
    </w:p>
    <w:p>
      <w:r>
        <w:rPr>
          <w:b/>
        </w:rPr>
        <w:t>E. 1.1</w:t>
      </w:r>
    </w:p>
    <w:p>
      <w:r>
        <w:t>Les recours émanant des parties défenderesses sont dirigés contre le même arrêt et concernent le même complexe de faits. Il se justifie dès lors de les joindre pour des motifs d'économie de procédure et de statuer à leur sujet dans un seul arrêt ( art. 24 PCF applicable par analogie vu le renvoi de l' art. 71 LTF ; cf. ATF 131 V 59 consid. 1 p. 60/61; 124 III 382 consid. 1a p. 385; 123 II 16 consid. 1 p. 20).</w:t>
      </w:r>
    </w:p>
    <w:p>
      <w:r>
        <w:rPr>
          <w:b/>
        </w:rPr>
        <w:t>E. 1.2</w:t>
      </w:r>
    </w:p>
    <w:p>
      <w:r>
        <w:t>Dirigés contre une décision finale ( art. 90 LTF ) rendue en matière civile par un tribunal supérieur statuant en dernière instance cantonale ( art. 75 al. 1 et 2 LTF ), dans une affaire pécuniaire dont la valeur litigieuse atteint le seuil de 30'000 fr. ( art. 74 al. 1 let. b LTF ), les recours, interjetés par des parties qui ont pris part à l'instance précédente et ont succombé totalement ou partiellement dans leurs conclusions ( art. 76 al. 1 LTF ), sont en principe recevables, puisqu'ils ont été déposés dans le délai ( art. 100 al. 1 LTF ) et la forme ( art. 42 LTF ) prévus par la loi. La cour cantonale n'a pas statué sur recours, contrairement à l'exigence posée à l' art. 75 al. 2 2 ème phrase LTF. Cette circonstance reste toutefois sans conséquence puisque, au moment où la Cour civile II a rendu sa décision, les cantons disposaient encore d'un délai d'adaptation ( art. 130 al. 2 LTF ).</w:t>
      </w:r>
    </w:p>
    <w:p>
      <w:r>
        <w:rPr>
          <w:b/>
        </w:rPr>
        <w:t>E. 1.3</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 Par ailleurs, 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136 II 304 consid. 2.4 p. 314; 135 III 127 consid. 1.5 p. 130, 397 consid. 1.5 p. 401; 135 II 145 consid. 8.1 p. 153)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136 II 101 consid. 3 p. 104 s. et les arrêts cités). Aucun fait nouveau ni preuve nouvelle ne peut être présenté à moins de résulter de la décision de l'autorité précédente ( art. 99 al. 1 LTF ). I. Grief commun aux deux recours</w:t>
      </w:r>
    </w:p>
    <w:p>
      <w:r>
        <w:rPr>
          <w:b/>
        </w:rPr>
        <w:t>E. 2</w:t>
      </w:r>
    </w:p>
    <w:p>
      <w:r>
        <w:t>A lire les recours, la cour cantonale a retenu de manière arbitraire que les recourants, représentés par C.X.________, ont conclu des contrats d'entreprise avec l'intimée et V.________. Les recourants amènent différents éléments dont il ressortirait que lesdits contrats ont été passés avec Z.________. Dans ses mémoires, l'intimée reconnaîtrait ainsi que c'est l'assureur qui a demandé aux deux entreprises d'assainissement d'intervenir sur place et leur a donné des instructions. Les recourants invoquent également plusieurs témoignages allant dans le même sens. Ces ordres auraient été acceptés par l'intimée et V.________ de sorte qu'un lien contractuel se serait noué entre ces sociétés et l'assureur, et non pas avec les recourants qui n'avaient pas leur mot à dire. Au surplus, le comportement très actif de Z.________ et de son inspecteur de sinistre ne saurait se résumer, selon les recourants, à un simple soutien apporté par l'assureur aux sinistrés.</w:t>
      </w:r>
    </w:p>
    <w:p>
      <w:r>
        <w:rPr>
          <w:b/>
        </w:rPr>
        <w:t>E. 2.1</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135 V 2 consid. 1.3 p. 4 s.; 134 I 140 consid. 5.4 p. 148, 263 consid. 3.1 p. 265 s.).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134 V 53 consid. 4.3 p. 62; 129 I 8 consid. 2.1 p. 9).</w:t>
      </w:r>
    </w:p>
    <w:p>
      <w:r>
        <w:rPr>
          <w:b/>
        </w:rPr>
        <w:t>E. 2.2</w:t>
      </w:r>
    </w:p>
    <w:p>
      <w:r>
        <w:t>Selon le jugement cantonal, C.X.________, alors associé de X.H.________, représentait les sinistrés de l'incendie du 7 décembre 2004 dès le début des travaux. La cour cantonale déduit le mandat de représentation du fait que les intéressés, en tant que propriétaires d'immeuble et/ou de mobilier, ont laissé C.X.________ conduire les opérations sans jamais s'y opposer; elle invoque également la note du 25 février 2005 adressée par C.X.________ à son avocat, ainsi que le mandat du 16 mars 2005 confirmant les pouvoirs de C.X.________. Les juges valaisans sont d'avis par ailleurs que le comportement de C.X.________ permettait à l'intimée et à V.________ de conclure qu'il représentait les sinistrés. Ceci posé, la cour cantonale a retenu que C.X.________, en tant que représentant direct des sinistrés, a conclu en leurs noms un contrat d'entreprise avec l'intimée, respectivement avec V.________. Pour ce faire, elle s'est fondée sur divers éléments, comme le fait que les offres des deux entreprises d'assainissement ont été adressées à C.X.________ ou que ce dernier, à la réception des factures, n'a pas contesté la qualité de débiteurs des personnes qu'il représentait.</w:t>
      </w:r>
    </w:p>
    <w:p>
      <w:r>
        <w:rPr>
          <w:b/>
        </w:rPr>
        <w:t>E. 2.2.1</w:t>
      </w:r>
    </w:p>
    <w:p>
      <w:r>
        <w:t>Pour déterminer s'il y a eu effectivement accord entre parties, il y a lieu de rechercher tout d'abord leur réelle et commune intention sur la base d'une interprétation dite subjective (cf. art. 18 CO ), fondée notamment sur des éléments postérieurs au moment où le contrat aurait été conclu (cf. ATF 133 III 61 consid. 2.2.1 p.67; 132 III 626 consid. 3.1 p. 632; 129 III 675 consid. 2.3 p. 680). Lorsque l'autorité précédente parvient ainsi à se convaincre d'une commune et réelle intention des parties, il s'agit d'une constatation de fait qui lie en principe le Tribunal fédéral ( art. 105 LTF ) et ne peut être remise en cause que sous l'angle de l'arbitraire dans l'appréciation des preuves ( ATF 135 III 410 consid. 3.2 p. 413, 675 consid. 3.3 p. 681; cf. ATF 131 III 606 consid. 4.1 p. 611; 129 III 118 consid. 2.5 p. 122). En l'espèce, la cour cantonale a établi en fait que les contrats d'entreprise avaient été conclus entre, d'une part, C.X.________ en tant que représentant et, d'autre part, l'intimée, respectivement V.________. En particulier, elle s'est fondée sur des éléments postérieurs à décembre 2004, comme l'attitude de C.X.________ à la réception des factures adressées à X.H.________. Cela étant, il n'apparaît pas que la constatation de la cour cantonale repose sur une appréciation arbitraire des preuves. C.X.________ était l'un des associés d'une société touchée par le sinistre en tant que propriétaire. C'est lui qui, le 13 décembre 2004, a demandé au représentant de l'intimée d'estimer le coût des travaux à effectuer. Peu importe à cet égard qu'il ait agi sur conseil de l'assureur. Quant à V.________, son représentant a rencontré sur place, le 14 décembre 2004, l'architecte mandaté par C.X.________. En outre, les entreprises d'assainissement ont adressé leurs offres à C.X.________, se bornant à envoyer une copie à l'assureur. Par ailleurs, depuis le 16 décembre 2004, C.X.________ savait que Z.________ réservait sa couverture d'assurance; il ne s'est pourtant jamais opposé à l'exécution des travaux d'assainissement. C'est lui qui a du reste suivi l'ensemble des travaux. Le procès-verbal de la séance de chantier du 22 décembre 2004 indique expressément que l'ordre de travail à l'intimée et à V.________ doit être donné par le «propriétaire». Certes, le même document réserve l'acceptation préalable du devis par l'assureur. Mais cette démarche s'explique aisément dès lors que, comme la cour cantonale le rappelle à juste titre, l'assuré a une obligation de limiter le dommage consécutif à un sinistre et doit agir de concert avec l'assureur, lequel supportera en définitive les frais si les conditions d'assurance sont réalisées. Enfin, lorsqu'il a reçu les factures des deux entreprises d'assainissement adressées à X.H.________, C.X.________ n'a pas contesté que les personnes qu'il représentait en étaient les débitrices. En réponse aux rappels, il a simplement fait valoir qu'elles attendaient le règlement du sinistre par l'assureur. Face à ces éléments, les faits et les témoignages invoqués par les recourants ne sont pas de nature à remettre en cause, sous l'angle de l'arbitraire, la constatation cantonale à propos des parties aux contrats. Ils ont tous trait à l'activité déployée par l'assureur. Or, comme on l'a déjà vu, il était normal que Z.________ ait son mot à dire sur les travaux d'assainissement et leur coût puisqu'elle devrait, au bout du compte, prendre en charge celui-ci si les conditions d'assurance étaient réalisées, ce qui n'était précisément pas établi en décembre 2004. Cela ne signifie pas pour autant que l'assureur acceptait d'emblée d'être le maître de l'ouvrage. Le fait que ce soit l'assureur qui ait demandé aux entreprises d'assainissement de venir sur place n'apparaît pas non plus déterminant à cet égard.</w:t>
      </w:r>
    </w:p>
    <w:p>
      <w:r>
        <w:rPr>
          <w:b/>
        </w:rPr>
        <w:t>E. 2.2.2</w:t>
      </w:r>
    </w:p>
    <w:p>
      <w:r>
        <w:t>Pour le surplus, il n'est pas contesté que C.X.________ avait l'intention et le pouvoir de représenter tous les propriétaires victimes du sinistre, soit les recourants. Ces derniers ne remettent pas non plus en cause le fait que l'intimée et V.________ pouvaient inférer des circonstances l'existence d'un tel rapport de représentation (cf. art. 32 al. 2 CO ). En conclusion, la cour cantonale n'a pas versé dans l'arbitraire en constatant que les recourants, représentés par C.X.________, étaient liés par les contrats d'entreprise passés avec l'intimée et V.________. II. Griefs soulevés par la recourante Y.________</w:t>
      </w:r>
    </w:p>
    <w:p>
      <w:r>
        <w:rPr>
          <w:b/>
        </w:rPr>
        <w:t>E. 3</w:t>
      </w:r>
    </w:p>
    <w:p>
      <w:r>
        <w:t>La recourante conteste être débitrice solidaire du montant de 44'790 fr.60 figurant dans la facture de l'intimée du 10 février 2005. Elle considère que le raisonnement de la cour cantonale à ce sujet «ne repose pas sur des moyens de preuve suffisants» et que la ratio legis de l' art. 143 CO commandait de conclure, en cas de doute, à l'absence de solidarité. La recourante fait également valoir qu'elle est l'entité la moins sinistrée, qu'elle n'était que locataire et qu'elle a eu un rôle subsidiaire de sorte qu'elle ne pouvait être vue comme débitrice solidaire du montant précité.</w:t>
      </w:r>
    </w:p>
    <w:p>
      <w:r>
        <w:rPr>
          <w:b/>
        </w:rPr>
        <w:t>E. 3.1</w:t>
      </w:r>
    </w:p>
    <w:p>
      <w:r>
        <w:t>Après avoir constaté que tous les propriétaires sinistrés, y compris la recourante en tant que propriétaire de meubles, étaient liés par les contrats d'entreprise, la cour cantonale a relevé qu'il y avait pluralité de débiteurs des montants réclamés, lesquels n'étaient pas contestés en eux-mêmes. Elle a ensuite admis qu'il y avait une société simple entre A.X.________, B.X.________ et X.H.________ de sorte que ceux-ci étaient solidairement responsables des dettes déduites en justice. Les juges précédents n'ont pas examiné si la recourante faisait partie de la société simple, car ils ont admis, de toute manière, une solidarité des maîtres de l'ouvrage, résultant de la circonstance que leur représentant, C.X.________, n'avait pas exigé que les offres et factures fussent établies en distinguant la part de chacune des personnes juridiques sinistrées.</w:t>
      </w:r>
    </w:p>
    <w:p>
      <w:r>
        <w:rPr>
          <w:b/>
        </w:rPr>
        <w:t>E. 3.2</w:t>
      </w:r>
    </w:p>
    <w:p>
      <w:r>
        <w:t>En cas de pluralité de débiteurs, la solidarité ne se présume pas. La solidarité conventionnelle suppose que les codébiteurs solidaires adressent au créancier une déclaration dans ce sens ( art. 143 al. 1 CO ). La volonté de s'engager solidairement peut s'exprimer par actes concluants, lorsqu'elle résulte du contexte et du contenu particulier du contrat. Ces circonstances s'interprètent selon le principe de la confiance ( ATF 116 II 707 consid. 3 p. 712). Conclure un contrat à plusieurs ne suffit pas pour créer une obligation solidaire entre les débiteurs ( ATF 49 III 205 consid. 4 p. 211). En revanche, le Tribunal fédéral a admis une solidarité résultant, dans une vente aux enchères, d'une offre collective suivie d'adjudication ( ATF 47 III 213 ) et, dans une vente d'actions, du défaut de spécification des actions vendues et du prix de vente ( ATF 116 II 707 consid. 3 p. 717).</w:t>
      </w:r>
    </w:p>
    <w:p>
      <w:r>
        <w:rPr>
          <w:b/>
        </w:rPr>
        <w:t>E. 3.3</w:t>
      </w:r>
    </w:p>
    <w:p>
      <w:r>
        <w:t>Comme dans cette dernière affaire, les contrats passés avec les entreprises d'assainissement ne précisent pas quels sont les travaux relatifs à tels immeubles ou meubles et ne fixe pas le prix par partie à assainir. En effet, selon les constatations cantonales, les offres ont été établies de manière globale, sans que ne soient distinguées les interventions portant sur le mobilier ou les immeubles des différents propriétaires touchés par le sinistre; C.X.________, représentant ces derniers, a accepté ces offres sans exiger qu'elles soient établies en distinguant la part de chaque sinistré; il n'a pas réagi non plus lorsqu'il a reçu des factures globales. Interprétée selon le principe de la confiance, l'attitude du représentant, opposable à la recourante, donnait à penser que chaque sinistré s'engageait pour le tout. En concluant à la solidarité des recourants, la cour cantonale n'a dès lors pas violé l' art. 143 CO .</w:t>
      </w:r>
    </w:p>
    <w:p>
      <w:r>
        <w:rPr>
          <w:b/>
        </w:rPr>
        <w:t>E. 4</w:t>
      </w:r>
    </w:p>
    <w:p>
      <w:r>
        <w:t>Selon le recours, la cour cantonale a également erré en admettant la légitimation passive exclusive de la recourante en rapport avec la créance cédée de 32'645 fr.85. La simple mention d'un débiteur sur une cession de créance ne serait pas suffisante pour établir la véritable qualité de débiteur. De plus, comme la recourante est la personne juridique nettement la moins touchée par le sinistre, il serait «inique» de la considérer comme «seule partie contractuelle et débitrice».</w:t>
      </w:r>
    </w:p>
    <w:p>
      <w:r>
        <w:rPr>
          <w:b/>
        </w:rPr>
        <w:t>E. 4.1</w:t>
      </w:r>
    </w:p>
    <w:p>
      <w:r>
        <w:t>Contrairement à ce que la recourante prétend, la cour cantonale n'a pas jugé que Y.________ était la seule partenaire contractuelle de V.________. Selon le jugement cantonal, la recourante et ses codéfendeurs sont bel et bien débiteurs solidaires des deux montants figurant dans les factures de l'intimée du 10 février 2005 (44'790 fr.60) et de V.________ du 13 mai 2005 (32'645 fr.85). Mais, comme la cession de créance entre V.________ et l'intimée ne mentionne que Y.________ comme débitrice cédée, l'autorité cantonale en a déduit que seule la recourante pouvait être condamnée à payer le montant de 32'645 fr.85 à la cessionnaire.</w:t>
      </w:r>
    </w:p>
    <w:p>
      <w:r>
        <w:rPr>
          <w:b/>
        </w:rPr>
        <w:t>E. 4.2</w:t>
      </w:r>
    </w:p>
    <w:p>
      <w:r>
        <w:t>En premier lieu, il convient de relever qu'en cas de solidarité passive, le créancier dispose de plusieurs créances autonomes, chacune à l'égard de chaque débiteur, et que ces créances peuvent avoir un sort juridique propre (Isabelle Romy, in Commentaire romand, Code des obligations I, 2003, n° 3 ad art. 143 CO ). C'est dire qu'en présence d'obligations solidaires, la créance peut être cédée seulement en tant qu'elle concerne l'un des débiteurs solidaires (Eugen Spirig, Zürcher Kommentar, 3e éd. 1993, n° 32 ad art. 164 CO ; Hermann Becker, Berner Kommentar, 2e éd. 1941, n° 9 ad art. 164 CO ). En l'espèce, la cession de créance du 28 novembre 2007 est donc valable même si elle indique comme débiteur cédé uniquement la recourante. La question qui se pose est plutôt de savoir si, en ne mentionnant que le nom de la recourante, les parties au contrat de cession voulaient exclure que la cessionnaire puisse rechercher les autres débiteurs solidaires ou si, comme le sous-entend la recourante, cette mention résulte d'une simplification sans portée significative. Pour répondre à cette question, il faudrait interpréter la cession selon les principes applicables en matière d'interprétation des contrats, ce que la cour cantonale n'a pas fait, se contentant de constater que seul le nom de la recourante figure sur la cession. Il n'est toutefois pas nécessaire de porter l'examen de ce point plus avant. En effet, quelle que soit l'interprétation donnée, le recours ne peut être accueilli. Dans la première hypothèse, qui est celle retenue de facto par la cour cantonale, la cession n'en serait pas moins valable, comme on l'a vu plus haut. Le dispositif condamnant la recourante à payer le montant de 32'645 fr.85 ne pourrait donc être que confirmé. Dans la seconde hypothèse, il faudrait certes constater que l'intimée a bien ouvert action contre tous les débiteurs solidaires et que ceux-ci étaient susceptibles d'être condamnés solidairement au paiement du montant de 32'645 fr.85. Mais, il faut rappeler à ce stade que le Tribunal fédéral est lié par les conclusions du recours ( art. 107 al. 1 LTF ). Or, en l'occurrence, le recours de Y.________ ne tend qu'au rejet de l'action introduite par l'intimée, et non à faire condamner les autres recourants comme codébiteurs solidaires. Le moyen soulevé par la recourante est donc mal fondé en tout état de cause.</w:t>
      </w:r>
    </w:p>
    <w:p>
      <w:r>
        <w:rPr>
          <w:b/>
        </w:rPr>
        <w:t>E. 5</w:t>
      </w:r>
    </w:p>
    <w:p>
      <w:r>
        <w:t>En conclusion, les deux recours doivent être rejetés. Y.________, d'une part, et A.X.________, B.X.________ et X.H.________, d'autre part, prendront à leur charge les frais afférents à leur recours respectif ( art. 66 al. 1 LTF ). N'ayant pas déposé de réponse, l'intimée ne peut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