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4A_598/2025 vom 8. Dezember 2025</w:t>
      </w:r>
    </w:p>
    <w:p>
      <w:r>
        <w:t>Bundesgericht, 2025-12-08, DE</w:t>
      </w:r>
    </w:p>
    <w:p>
      <w:r>
        <w:rPr>
          <w:b/>
        </w:rPr>
        <w:t xml:space="preserve">Quelle: </w:t>
      </w:r>
      <w:r>
        <w:t>https://mcp.opencaselaw.ch/entscheid/bger_4A_598_2025</w:t>
      </w:r>
    </w:p>
    <w:p>
      <w:r>
        <w:t>FR: TF 4A_598/2025 du 8 décembre 2025</w:t>
      </w:r>
    </w:p>
    <w:p>
      <w:r>
        <w:t>IT: TF 4A_598/2025 del 8 dicembre 2025</w:t>
      </w:r>
    </w:p>
    <w:p>
      <w:pPr>
        <w:pStyle w:val="Heading2"/>
      </w:pPr>
      <w:r>
        <w:t>Erwägungen</w:t>
      </w:r>
    </w:p>
    <w:p>
      <w:r>
        <w:rPr>
          <w:b/>
        </w:rPr>
        <w:t>E. 1</w:t>
      </w:r>
    </w:p>
    <w:p>
      <w:r>
        <w:t>Das Obergericht der Kantons Thurgau wies ein Kostenerlassgesuch der Beschwerdeführerin betreffend rechtskräftig festgesetzte Verfahrensgebühren sowie ein Ausstandsgesuch mit Entscheid ZPR.2025.6 vom 8. Mai 2025 ab. Das Bundesgericht trat mit Urteil 4A_302/2025 auf eine von der Beschwerdeführerin dagegen erhobene Beschwerde nicht ein. Auf eine erneute diesbezügliche Eingabe der Beschwerdeführerin vom 10. Oktober 2025 hin, lehnte es der Vizepräsident des Obergerichts des Kantons Thurgau mit Entscheid vom 15. Oktober 2025 ab, auf den Entscheid vom 8. Mai 2025 zurückzukommen. Sodann kündigte er an, dass weitere Eingaben ohne rechtserhebliche Gesichtspunkte nicht mehr beantwortet würden. Dagegen erhob die Beschwerdeführerin mit Eingabe vom 24. November 2025 Beschwerde an das Bundesgericht. Gleichzeitig ersuchte sie darum, es sei der Beschwerde die aufschiebende Wirkung zu erteilen. Auf das Einholen von Vernehmlassungen zur Beschwerde wurde verzichtet.</w:t>
      </w:r>
    </w:p>
    <w:p>
      <w:r>
        <w:rPr>
          <w:b/>
        </w:rPr>
        <w:t>E. 2</w:t>
      </w:r>
    </w:p>
    <w:p>
      <w:r>
        <w:t>Die Beschwerdeführerin stellt u.a. den prozessualen Antrag, es " sei diese Beschwerde von einem CVP-, GLP-, FDP-, SP-, SVP-+ CLP-Mitgliederfreien Bundesgerichtsspruchkörper zu beurteilen, wobei der oder die Bundesrichter/in nicht verbandelt erscheinen darf mit Justizmitgliedern in den Kantonen TG + ZH + BE + AG + SO + SG sowie keine mögliche Befangenheit aus früheren privaten oder beruflichen Tätigkeiten sei es an diesen kantonalen Gerichten oder am Bundesgericht selbst... (wie Bundesgerichtspräsident Dr. Hurni zumindest anmutend, der die Bundesgerichts-Beschwerden 4A_300/2025 und 4A_302/2025 abgewiesen hat, aufgrund der für meine Juristen nicht nachvollziehbarer Konklusion der angeblich verspätet eingereichten Novenergänzungen?),... was in der Beilage 3 zu meiner in eigener Sache TG Obergerichts- Kostenvorschussbeschwerde ans Bundesgericht vom 21.11.2025 (zwingender Bestandteil dieser Bundesgerichts-TG-Obergerichts-Erlassabweisungsbeschwerde) nicht abschliessend erläutert ist, jedoch in der Strafanzeige in Glarus u.a. untersucht werden soll. " Ein Ausstandsbegehren kann nicht allein damit begründet werden, dass die abgelehnten Richter einer politischen Partei angehören (Urteil 2C_1118/2013 vom 6. Dezember 2013 i.S. des Beschwerdeführers, E. 2.1; 1C_426/2014 vom 24. November 2014 E. 3.2). Unzulässig sind ferner Ausstandsbegehren, die primär mit früheren, zuungunsten der Partei ausgefallenen Entscheiden, an denen die abgelehnte Gerichtsperson mitgewirkt hat, oder sonstwie mit nicht nachvollziehbaren bzw. untauglichen Motiven begründet werden. Die abgelehnten Gerichtspersonen können am Entscheid über solche Ausstandsgesuche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 Die Beschwerdeführerin begründet ihr Ausstandsgesuch gegen Bundesrichter Hurni im Wesentlichen damit, dass dieser an früheren Entscheiden mitwirkte, die nicht zu ihren Gunsten ausfielen. Auch sonst macht sie offensichtlich keine tauglichen Ausstandsgründe geltend, weshalb auf das missbräuchliche Ausstandsgesuch nicht einzutreten ist. Der abgelehnte Bundesrichter Hurni kann dabei mitwirken.</w:t>
      </w:r>
    </w:p>
    <w:p>
      <w:r>
        <w:rPr>
          <w:b/>
        </w:rPr>
        <w:t>E. 3</w:t>
      </w:r>
    </w:p>
    <w:p>
      <w:r>
        <w:t>Die Eingabe der Beschwerdeführerin beruht auch im Übrigen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4</w:t>
      </w:r>
    </w:p>
    <w:p>
      <w:r>
        <w:t>Bei diesem Ausgang des Verfahrens sind die Gerichtskosten der Beschwerdeführerin aufzuerlegen ( Art. 66 Abs. 1 BGG ). Parteientschädigungen sind nicht zuzusprechen ( Art. 68 BGG ). Das Gesuch der Beschwerdeführerin,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