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4A_598/2023 vom 2. September 2024</w:t>
      </w:r>
    </w:p>
    <w:p>
      <w:r>
        <w:t>Bundesgericht, 2024-09-02, FR</w:t>
      </w:r>
    </w:p>
    <w:p>
      <w:r>
        <w:rPr>
          <w:b/>
        </w:rPr>
        <w:t xml:space="preserve">Quelle: </w:t>
      </w:r>
      <w:r>
        <w:t>https://mcp.opencaselaw.ch/entscheid/bger_4A_598_2023</w:t>
      </w:r>
    </w:p>
    <w:p>
      <w:r>
        <w:t>FR: TF 4A_598/2023 du 2 septembre 2024</w:t>
      </w:r>
    </w:p>
    <w:p>
      <w:r>
        <w:t>IT: TF 4A_598/2023 del 2 settembre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celles-ci se sont servies qui du français (le recourant), qui de l'allemand (l'intimée). Dès lors, le présent arrêt sera rendu dans la langue du recours, conformément à l'usage.</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sa motivation, de l'unique moyen invoqué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d LDIP ainsi que l'art. 6 par. 1 de la Convention européenne des droits de l'homme (CEDH; RS 0.101), dénonce une atteinte à son droit d'être entendu ainsi qu'une violation des principes d'égalité des parties et de la contradiction.</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 Le principe de la contradiction suppose que chaque partie ait la faculté de se déterminer sur les moyens de son adversaire, d'examiner et de discuter les preuves apportées par lui et de les réfuter par ses propres preuves ( ATF 142 III 360 consid. 4.1.1).</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4A_332/2021 du 6 mai 2022; 4A_668/2016 du 24 juillet 2017 consid. 3.1). Depuis le 1er janvier 2021 (RO 2020 4181), l' art. 182 al. 4 LDIP prévoit du reste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En premier lieu, le recourant reproche au TAS de ne pas lui avoir offert la possibilité de procéder à un contre-interrogatoire du joueur. A cet égard, il rappelle que son adversaire a produit lors de la procédure arbitrale, à l'appui de sa réplique, un témoignage écrit du footballeur. L'intéressé souligne également qu'il a contesté, dans sa duplique, la recevabilité de ce témoignage écrit et a conclu à sa nullité, dès lors que l'intimée n'avait pas cité le joueur en tant que témoin et qu'il était impossible d'évaluer la crédibilité dudit témoin. Il fait valoir que l'arbitre s'est fondée sur le témoignage écrit du joueur, lequel était de nature à influer sur le sort du litige, sans lui offrir préalablement la possibilité de poser oralement ou par écrit des questions supplémentaires au footballeur. Le recourant estime avoir ainsi été privé de la faculté de s'exprimer sur le résultat de l'administration des preuves.</w:t>
      </w:r>
    </w:p>
    <w:p>
      <w:r>
        <w:rPr>
          <w:b/>
        </w:rPr>
        <w:t>E. 5.2.2</w:t>
      </w:r>
    </w:p>
    <w:p>
      <w:r>
        <w:t>Tel qu'il est présenté, le grief ne saurait prospérer.</w:t>
      </w:r>
    </w:p>
    <w:p>
      <w:r>
        <w:t>En l'occurrence, il apparaît que le recourant a eu tout loisir de se déterminer sur le contenu du témoignage écrit du footballeur. Dans sa duplique du 9 septembre 2021, l'intéressé aurait pu et dû solliciter l'audition du témoin concerné s'il estimait pareille mesure opportune ou, à tout le moins, profiter de cette occasion pour présenter une liste de questions complémentaires à soumettre par écrit audit témoin, s'il entendait remettre en cause les déclarations faites par ce dernier. Au lieu de le faire, il s'est borné à conclure à l'irrecevabilité de la pièce produite par son adversaire à l'appui de sa réplique. Comme l'expose en outre l'intimée sans être contredite par le recourant, ce dernier a expressément demandé au TAS, à l'issue du second échange d'écritures, de ne pas tenir d'audience. De plus, il a signé l'ordre de procédure et retourné celui-ci au TAS le 21 octobre 2021 sans formuler la moindre remarque ou objection quant au prétendu non-respect de son droit d'être entendu. Dans ces conditions, le recourant est forclos à venir soutenir aujourd'hui, une fois connu le sort du procès arbitral, que son droit d'être entendu n'a pas été respecté respectivement que les principes du contradictoire et de l'égalité des parties ont été violés.</w:t>
      </w:r>
    </w:p>
    <w:p>
      <w:r>
        <w:t>Cette question de forclusion mise à part, le reproche formulé par le recourant tombe de toute manière à faux. Selon la jurisprudence, l' art. 182 al. 3 LDIP ne confère en effet pas aux parties le droit de poser ou de faire poser oralement des questions aux auteurs de dépositions écrites (arrêts 4A_199/2014 du 8 octobre 2014 consid. 6.2.3; 4P.196/2003 du 7 janvier 2004 consid. 4.2.2.2). N'en déplaise au recourant, il ne saurait en être autrement ici.</w:t>
      </w:r>
    </w:p>
    <w:p>
      <w:r>
        <w:t>Pour le reste, l'intéressé, sous le couvert d'une prétendue violation de son droit d'être entendu, se contente de critiquer l'appréciation de l'ensemble des preuves disponibles opérée par l'arbitre. Il va sans dire qu'une telle démarche est inadmissible en matière d'arbitrage international. En tout état de cause, les explications avancées par le recourant ne permettent pas d'établir en quoi le témoignage écrit du joueur aurait effectivement influencé l'issue du litige. A la lecture de la sentence attaquée, il apparaît, en effet, que l'arbitre s'est fondée sur l'ensemble des accords conclus entre les parties pour admettre que l'intimée avait effectivement joué le rôle intermédiaire dans le cadre du transfert du joueur à D.________, le témoignage écrit du joueur ne venant que confirmer le résultat auquel avait déjà abouti l'arbitre. A cet égard, le passage suivant de la décision entreprise est particulièrement révélateur:</w:t>
      </w:r>
    </w:p>
    <w:p>
      <w:r>
        <w:t>"120. (...) The context given by the several agreements demonstrate the involvement of the Claimant in providing its intermediary services, which is also confirmed by the Players witness statement submitted as Exhibit 4 of the Claimant's Reply, evidence validly admitted pursuant to Article R44.1 of the CAS Code".</w:t>
      </w:r>
    </w:p>
    <w:p>
      <w:r>
        <w:t>Il suit de là que le moyen considéré, s'il n'avait pas été atteint par la forclusion, n'aurait pu qu'être rejeté comme étant infondé.</w:t>
      </w:r>
    </w:p>
    <w:p>
      <w:r>
        <w:rPr>
          <w:b/>
        </w:rPr>
        <w:t>E. 5.3</w:t>
      </w:r>
    </w:p>
    <w:p>
      <w:r>
        <w:t>En second lieu, le recourant prétend que l'arbitre aurait omis de se prononcer sur la question de la nullité respectivement de l'irrecevabilité du témoignage écrit du footballeur, alors même qu'il avait valablement soulevé pareil argument dans sa duplique. L'arbitre aurait ainsi enfreint son droit d'être entendu.</w:t>
      </w:r>
    </w:p>
    <w:p>
      <w:r>
        <w:t>L'argumentation présentée par le recourant au soutien de ce moyen n'emporte point la conviction de la Cour de céans. Il appert de la motivation retenue par l'arbitre que celle-ci a écarté l'argument en question, à tout le moins de manière implicite, puisqu'elle a considéré que la preuve en question avait été valablement présentée au regard de l'art. R44.1 du Code de l'arbitrage en matière de sport ("Players witness statement... evidence validly admitted pursuant to Article R44.1 of the CAS Code"; sentence, n. 120). Que cette décision soit juridiquement fondée ou non importe peu sous l'angle du moyen pris de la violation du droit d'être entendu. Il sied en outre de préciser que le recourant ne saurait obtenir des explications sur chaque détail du raisonnement tenu par l'arbitre. Indépendamment de ce qui précède, on relèvera que la violation du droit d'être entendu dénoncée par le recourant n'a pas eu les conséquences juridiques que lui prête celui-ci, étant donné que le témoignage écrit du footballeur n'a pas influé sur le sort du litige.</w:t>
      </w:r>
    </w:p>
    <w:p>
      <w:r>
        <w:rPr>
          <w:b/>
        </w:rPr>
        <w:t>E. 6</w:t>
      </w:r>
    </w:p>
    <w:p>
      <w:r>
        <w:t>Au vu de ce qui précède, le recours ne peut qu'être rejeté dans la mesure de sa recevabilité. Le recourant, qui succombe, devra payer les frais de la procédure fédérale ( art. 66 al. 1 LTF ) et verser des dépens à l'intimée ( art. 68 al. 1 et 2 LTF ). L'indemnité allouée à cette partie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