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4A_596/2024 vom 28. April 2025</w:t>
      </w:r>
    </w:p>
    <w:p>
      <w:r>
        <w:t>Bundesgericht, 2025-04-28, FR</w:t>
      </w:r>
    </w:p>
    <w:p>
      <w:r>
        <w:rPr>
          <w:b/>
        </w:rPr>
        <w:t xml:space="preserve">Quelle: </w:t>
      </w:r>
      <w:r>
        <w:t>https://mcp.opencaselaw.ch/entscheid/bger_4A_596_2024</w:t>
      </w:r>
    </w:p>
    <w:p>
      <w:r>
        <w:t>FR: TF 4A_596/2024 du 28 avril 2025</w:t>
      </w:r>
    </w:p>
    <w:p>
      <w:r>
        <w:t>IT: TF 4A_596/2024 del 28 aprile 2025</w:t>
      </w:r>
    </w:p>
    <w:p>
      <w:pPr>
        <w:pStyle w:val="Heading2"/>
      </w:pPr>
      <w:r>
        <w:t>Erwägungen</w:t>
      </w:r>
    </w:p>
    <w:p>
      <w:r>
        <w:rPr>
          <w:b/>
        </w:rPr>
        <w:t>E. 1.1</w:t>
      </w:r>
    </w:p>
    <w:p>
      <w:r>
        <w:t>Conformément à l' art. 54 al. 1 LTF , le présent arrêt sera rendu en français, langue de l'arrêt attaqué, même si le recours est rédigé en allemand, comme l'autorise l' art. 42 al. 1 LTF .</w:t>
      </w:r>
    </w:p>
    <w:p>
      <w:r>
        <w:rPr>
          <w:b/>
        </w:rPr>
        <w:t>E. 1.2</w:t>
      </w:r>
    </w:p>
    <w:p>
      <w:r>
        <w:t>Le litige porte sur une assurance complémentaire à l'assurance-maladie sociale, régie par la loi fédérale du 2 avril 1908 sur le contrat d'assurance (LCA; RS 221.229.1). Ce type de conflit ressortit à la matière civile au sens de l' art. 72 al. 1 LTF ( ATF 138 III 2 consid. 1.1; 133 III 439 consid. 2.1).</w:t>
      </w:r>
    </w:p>
    <w:p>
      <w:r>
        <w:t>Au surplus, l'arrêt attaqué est une décision finale ( art. 90 LTF ) rendue par la Cour de justice du canton de Genève statuant en qualité d'instance cantonale unique au sens de l' art. 7 CPC ( art. 134 al. 1 let . c de la loi genevoise du 26 septembre 2010 sur l'organisation judiciaire [LOJ/GE; RS/GE E 2 05]; cf. art. 75 al. 2 let. a LTF et ATF 138 III 799 consid. 1.1). Aussi le présent recours est-il ouvert sans égard à la valeur litigieuse ( art. 74 al. 2 let. b LTF ). Interjeté au surplus par la société d'assurance, qui a partiellement succombé dans ses conclusions ( art. 76 al. 1 LTF ), dans le délai fixé par la loi ( art. 100 al. 1 LTF ), le recours en matière civile est en principe recevable.</w:t>
      </w:r>
    </w:p>
    <w:p>
      <w:r>
        <w:rPr>
          <w:b/>
        </w:rPr>
        <w:t>E. 1.3</w:t>
      </w:r>
    </w:p>
    <w:p>
      <w:r>
        <w:t>Le mémoire de recours doit contenir des conclusions ( art. 42 al. 1 LTF ). Le recours en matière civile étant une voie de réforme ( art. 107 al. 2 LTF ), le recourant ne peut en principe pas se borner à demander l'annulation de la décision attaquée et le renvoi de la cause à l'instance cantonale; il doit également, sous peine d'irrecevabilité, prendre des conclusions sur le fond du litige ( ATF 137 II 313 consid. 1.3; 134 III 379 consid. 1.3; arrêt 4A_278/2024 du 4 septembre 2024 consid. 1.2). Le Tribunal fédéral ne peut en effet aller au-delà des conclusions des parties ( art. 107 al. 1 LTF ). Cette règle souffre toutefois quelques exceptions. Parmi celles-ci, la pratique réserve le cas où la motivation du recours fait clairement apparaître en quoi l'arrêt attaqué doit être modifié (arrêts 4A_278/2024 précité consid. 1.2; 4A_297/2017 du 30 avril 2018 consid. 1.2; 4A_371/2016 du 14 octobre 2016 consid. 2.1).</w:t>
      </w:r>
    </w:p>
    <w:p>
      <w:r>
        <w:t>En l'occurrence, dans les conclusions figurant en tête de son écriture, la recourante se limite à demander l'annulation de l'arrêt attaqué et le renvoi de la cause à l'autorité précédente. Or, on ne voit pas ce qui aurait empêché la recourante de prendre des conclusions réformatoires en bonne et due forme. Dans son mémoire, elle se borne à discuter l'applicabilité de l' art. 28 CO à la cause, sans expliciter les conséquences concrètes qu'elle en tire pour le cas d'espèce. Elle évoque toutefois avoir résilié le contrat avec effet</w:t>
      </w:r>
    </w:p>
    <w:p>
      <w:r>
        <w:t>ex tunc. La question de savoir si une telle motivation permet de renoncer à l'exigence de conclusions réformatoires peut demeurer indécise, vu l'issue qu'il convient de réserver au recours.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À ce stade, seul est litigieux le point de savoir si la recourante pouvait se prévaloir des dispositions générales sur les vices du consentement ( art. 23 ss CO ), en particulier de l' art. 28 CO , en raison de la réticence commise par le gérant.</w:t>
      </w:r>
    </w:p>
    <w:p>
      <w:r>
        <w:rPr>
          <w:b/>
        </w:rPr>
        <w:t>E. 4</w:t>
      </w:r>
    </w:p>
    <w:p>
      <w:r>
        <w:t>La recourante fait grief à la cour cantonale d'avoir violé l' art. 28 CO .</w:t>
      </w:r>
    </w:p>
    <w:p>
      <w:r>
        <w:rPr>
          <w:b/>
        </w:rPr>
        <w:t>E. 4.1</w:t>
      </w:r>
    </w:p>
    <w:p>
      <w:r>
        <w:t>Selon l'instance précédente, la recourante ne pouvait se fonder sur l' art. 28 CO pour se départir du contrat. D'après les juges cantonaux, la réglementation légale de la LCA en matière de réticence constitue une</w:t>
      </w:r>
    </w:p>
    <w:p>
      <w:r>
        <w:t>lex specialis prévalant sur les règles générales régissant les vices du consentement. Il était ainsi exclu, pour la recourante, de se prévaloir des art. 23 ss CO en l'espèce, puisque les conditions d'une réticence étaient réalisées.</w:t>
      </w:r>
    </w:p>
    <w:p>
      <w:r>
        <w:rPr>
          <w:b/>
        </w:rPr>
        <w:t>E. 4.2</w:t>
      </w:r>
    </w:p>
    <w:p>
      <w:r>
        <w:t>D'après la recourante, une entreprise d'assurance devrait pouvoir se prévaloir des dispositions générales sur les vices de consentement, même dans l'hypothèse d'un cas de réticence. Les art. 4 ss LCA ne seraient pas une</w:t>
      </w:r>
    </w:p>
    <w:p>
      <w:r>
        <w:t>lex specialis par rapport à l' art. 28 CO : preuve en serait que certaines hypothèses réglementées par les art. 4 ss LCA ne seraient pas couvertes par l' art. 28 CO . Les deux régimes se chevaucheraient et pourraient être invoqués alternativement par l'assureur. En l'occurrence, les conditions d'un dol au sens de l' art. 28 CO seraient réalisées: il ressortirait de l'état de fait de l'arrêt cantonal que la recourante aurait été trompée par sa cocontractante quant à l'état de santé des personnes à assurer; cette tromperie serait illicite, car rien ne la justifierait; l'erreur engendrée aurait été causale pour la conclusion du contrat d'assurance. S'ensuivrait sa nullité</w:t>
      </w:r>
    </w:p>
    <w:p>
      <w:r>
        <w:t>ex tunc .</w:t>
      </w:r>
    </w:p>
    <w:p>
      <w:r>
        <w:rPr>
          <w:b/>
        </w:rPr>
        <w:t>E. 4.3</w:t>
      </w:r>
    </w:p>
    <w:p>
      <w:r>
        <w:t>Les art. 3 à 6 LCA régissent spécialement les devoirs précontractuels des parties au contrat d'assurance. En particulier, le proposant, futur assuré, doit déclarer à l'assureur, suivant un questionnaire ou en réponse à toute autre question, tous les faits qui sont importants pour l'appréciation du risque, soit les faits qui sont de nature à influer sur la décision de l'assureur de conclure le contrat ou de le conclure aux conditions convenues ( art. 4 LCA ). En cas de réticence, c'est-à-dire si le proposant a omis de déclarer ou inexactement déclaré un fait important qu'il connaissait ou devait connaître et sur lequel il a été questionné, l'assureur est en droit de résilier le contrat dans les quatre semaines dès qu'il en a eu connaissance ( art. 6 al. 1-2 LCA ). Ce devoir d'avis du proposant ( art. 4 LCA ), les conséquences de sa violation ( art. 6 LCA ) et les exceptions ( art. 8 LCA ) constituent une institution juridique particulière, dont la justification repose sur les caractéristiques de l'activité d'assurance (arrêt 4A_352/2014 du 9 février 2015 consid. 4.1.2; Vincent Brulhart, Droit des assurances privées, 2e éd. 2017, n. 634). Les art. 4 à 8 LCA règlent complètement la réticence et ses conséquences, à l'exclusion des dispositions générales du CO ( ATF 118 II 333 consid. 3d; arrêts 4A_352/2014 précité consid. 4.1.2; 4A_112/2013 du 20 août 2013 consid. 3.5.1; Corinne Monnard Séchaud, in Commentaire romand, Loi sur le contrat d'assurance, 2022, n. 16 ad art. 6 LCA ; Brulhart, loc.cit.; Hardy Landolt/Volker Pribnow, Privatversicherungsrecht, 2022, n. 268). La violation d'autres obligations demeure soumise aux règles du CO: ainsi, l'erreur dans la désignation de l'objet assuré est régie par les règles du CO sur les vices de la volonté, et non pas par les dispositions spéciales concernant le contrat d'assurance ( art. 23 ss CO ; ATF 118 II 333 consid. 3d; arrêt 4A_352/2014 précité consid. 4.1.2).</w:t>
      </w:r>
    </w:p>
    <w:p>
      <w:r>
        <w:t>En dépit des critiques que lui adressent certains auteurs (Stephan Fuhrer, Schweizerisches Privatversicherungsrecht, 2011, n. 6.110; Andrea P. Stäubli, Die Regelung über die vorvertragliche Anzeigepflicht des Versicherungsnehmers nach Art. 4 ff. VVG und ihr Verhältnis zum allgemeinen Zivilrecht, 2019, n. 602 ss et n. 610 ss; Alexandre Lehmann, Importante relativisation du délai de quatre semaines pour invoquer la réticence - Commentaire de l'arrêt du Tribunal fédéral 9C_702/2018 du 16 mai 2019, in REAS 2019 405, p. 409), il n'y a pas lieu de revenir sur cette jurisprudence.</w:t>
      </w:r>
    </w:p>
    <w:p>
      <w:r>
        <w:rPr>
          <w:b/>
        </w:rPr>
        <w:t>E. 4.4</w:t>
      </w:r>
    </w:p>
    <w:p>
      <w:r>
        <w:t>En l'espèce, il n'est pas contesté que le gérant de l'intimée a commis une réticence au sens de l' art. 6 al. 1 LCA et que la recourante était forclose au moment où elle a résilié le contrat ( art. 6 al. 2 LCA ). Les règles sur les conséquences de la réticence étant exclusives, la recourante ne saurait se prévaloir d'un vice du consentement au sens de l' art. 28 CO qui lui permettrait de bénéficier du délai d'un an ( art. 31 CO ) pour déclarer à sa cocontractante sa résolution de ne pas maintenir le contrat.</w:t>
      </w:r>
    </w:p>
    <w:p>
      <w:r>
        <w:t>Le grief doit dès lors être rejeté.</w:t>
      </w:r>
    </w:p>
    <w:p>
      <w:r>
        <w:rPr>
          <w:b/>
        </w:rPr>
        <w:t>E. 5</w:t>
      </w:r>
    </w:p>
    <w:p>
      <w:r>
        <w:t>En définitive, le recours doit être rejeté, dans la mesure où il est recevable. La recourante, qui succombe, supportera les frais de procédure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