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596/2019 vom 30. Juni 2020</w:t>
      </w:r>
    </w:p>
    <w:p>
      <w:r>
        <w:t>Bundesgericht, 2020-06-30, FR</w:t>
      </w:r>
    </w:p>
    <w:p>
      <w:r>
        <w:rPr>
          <w:b/>
        </w:rPr>
        <w:t xml:space="preserve">Quelle: </w:t>
      </w:r>
      <w:r>
        <w:t>https://mcp.opencaselaw.ch/entscheid/bger_4A_596_2019</w:t>
      </w:r>
    </w:p>
    <w:p>
      <w:r>
        <w:t>FR: TF 4A 596/2019 du 30 juin 2020</w:t>
      </w:r>
    </w:p>
    <w:p>
      <w:r>
        <w:t>IT: TF 4A 596/2019 del 30 giugno 2020</w:t>
      </w:r>
    </w:p>
    <w:p>
      <w:pPr>
        <w:pStyle w:val="Heading2"/>
      </w:pPr>
      <w:r>
        <w:t>Regeste</w:t>
      </w:r>
    </w:p>
    <w:p>
      <w:r>
        <w:t>hébergement de l'épouse de l'administrateur de la société locataire après la séparation des époux | Droit des contrats</w:t>
      </w:r>
    </w:p>
    <w:p>
      <w:pPr>
        <w:pStyle w:val="Heading2"/>
      </w:pPr>
      <w:r>
        <w:t>Erwägungen</w:t>
      </w:r>
    </w:p>
    <w:p>
      <w:r>
        <w:rPr>
          <w:b/>
        </w:rPr>
        <w:t>E. 1</w:t>
      </w:r>
    </w:p>
    <w:p>
      <w:r>
        <w:t>Interjeté en temps utile ( art. 100 al. 1 LTF ) par la bailleresse qui a succombé dans ses conclusions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p. 252), doit satisfaire au principe d'allégation ( Rügeprinzip , principio dell'allegazione ; art. 106 al. 2 LTF ), c'est-à-dire démontrer, par une argumentation précise, en quoi consiste la violation ( ATF 133 III 393 consid. 7.1 p. 398, 638 consid. 2 p. 638).</w:t>
      </w:r>
    </w:p>
    <w:p>
      <w:r>
        <w:rPr>
          <w:b/>
        </w:rPr>
        <w:t>E. 2.2</w:t>
      </w:r>
    </w:p>
    <w:p>
      <w:r>
        <w:t>Sous réserve de la violation des droits constitutionnels ( art. 106 al. 2 LTF ),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4A_357/2015 du 4 décembre 2015 consid. 1.4). Les parties ne peuvent s'en prendre qu'à elles-mêmes si elles abandonnent un grief ou y renoncent (arrêts 4A_193/2018 du 27 juillet 2018 consid. 2; 4A_508/2016 du 16 juin 2017 consid. 2.2; 4A_447/2015 du 31 mars 2016 consid. 2.1, non publié aux ATF 142 III 336 ; ATF 140 III 86 consid. 2 p. 89). 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p. 86; 135 III 397 consid. 1.4 p. 400).</w:t>
      </w:r>
    </w:p>
    <w:p>
      <w:r>
        <w:rPr>
          <w:b/>
        </w:rPr>
        <w:t>E. 3.1</w:t>
      </w:r>
    </w:p>
    <w:p>
      <w:r>
        <w:t>Dans son recours et ses observations, la bailleresse recourante se limite à parler de l'ex-épouse, mais sans motivation suffisante au sens des art. 97 al. 1 et 105 al. 2 LTF. Dans son arrêt, la cour cantonale se réfère à l'épouse et à une ordonnance de mesures protectrices de l'union conjugale du 8 juin 2016. Il n'en ressort pas qu'au jour de la notification de la résiliation, les époux auraient été divorcés. De surcroît, selon le jugement de première instance du 6 novembre 2018, à la date de l'audience du 12 juin 2018, les époux n'étaient pas divorcés, la procédure judiciaire étant en cours. Dans ses observations, l'intimée indique qu'elle est l'épouse de l'administrateur de la société, mais qu'elle en est séparée suite à un jugement sur mesures protectrices. Il s'ensuit qu'il n'y a pas lieu de corriger l'arrêt attaqué sur ce point.</w:t>
      </w:r>
    </w:p>
    <w:p>
      <w:r>
        <w:rPr>
          <w:b/>
        </w:rPr>
        <w:t>E. 3.2</w:t>
      </w:r>
    </w:p>
    <w:p>
      <w:r>
        <w:t>La cour cantonale a adopté une double motivation: dans sa première motivation, elle a nié que l'appartement litigieux fût le logement de la famille et, dans la seconde, elle a nié la sous-location, telle qu'invoquée par la bailleresse dans sa résiliation du bail, ce qui l'a conduite à admettre que le congé était inefficace. Dans sa réponse, l'épouse intimée ne reprend pas la première motivation, de sorte qu'elle est réputée avoir renoncé à son grief tiré du logement de la famille.</w:t>
      </w:r>
    </w:p>
    <w:p>
      <w:r>
        <w:rPr>
          <w:b/>
        </w:rPr>
        <w:t>E. 4</w:t>
      </w:r>
    </w:p>
    <w:p>
      <w:r>
        <w:t>Seule demeure litigieuse la question de la validité de la résiliation anticipée du bail, au motif d'une sous-location non autorisée.</w:t>
      </w:r>
    </w:p>
    <w:p>
      <w:r>
        <w:rPr>
          <w:b/>
        </w:rPr>
        <w:t>E. 4.1</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 résiliation anticipée au sens de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(arrêts 4A_173/2017 du 11 octobre 2017 consid. 3.1.1; 4A_227/2017 du 5 septembre 2017 consid. 5.1.1; 4A_347/2016 du 10 novembre 2016 consid. 3.1.1; 4A_485/2014 du 3 février 2015 consid. 3.1; 4A_457/2013 du 4 février 2014 consid. 2 et les arrêts cités). Pour apprécier la validité du congé anticipé, le juge doit prendre en considération le motif de congé invoqué par le bailleur et se placer au moment où il a été notifié ( ATF 140 III 496 consid. 4.1 p. 497; 138 III 59 consid. 2.1 p. 61 s. et les arrêts cités).</w:t>
      </w:r>
    </w:p>
    <w:p>
      <w:r>
        <w:rPr>
          <w:b/>
        </w:rPr>
        <w:t>E. 4.2</w:t>
      </w:r>
    </w:p>
    <w:p>
      <w:r>
        <w:t>Il y a notamment violation du devoir de diligence incombant au locataire lorsque celui-ci ne respecte pas ses obligations contractuelles en rapport avec l'usage de la chose louée ( ATF 132 III 109 consid. 5 p. 113 s.; arrêts 4A_39/2019 du 23 juillet 2019 consid. 3.1; 4A_644/2011 du 10 février 2012 consid. 3.2 et les arrêts cités).</w:t>
      </w:r>
    </w:p>
    <w:p>
      <w:r>
        <w:rPr>
          <w:b/>
        </w:rPr>
        <w:t>E. 4.2.1</w:t>
      </w:r>
    </w:p>
    <w:p>
      <w:r>
        <w:t>Selon la jurisprudence, la liberté contractuelle permet aux parties de déterminer librement l'objet de leur accord, dans les limites de la loi ( art. 19 al. 1 CO ). Ainsi, l'usage pour lequel la chose est louée est déterminé par la convention des parties, soit expressément, soit tacitement (par ex. par l'utilisation adoptée pendant longtemps par le locataire sans opposition du bailleur qui en avait connaissance). L'usage convenu se détermine ainsi prioritairement sur la base du libellé du bail et de celui de ses annexes, qui peuvent prévoir la destination des locaux ( Gebrauchszweck ; par ex. comme habitation, dépôt, bureau, atelier) ou la manière dont la chose louée doit être utilisée ( Gebrauchsmodalitäten ; par ex. le cercle des utilisateurs de celle-ci). Si le bail et ses annexes ne précisent pas clairement l'usage convenu, celui-ci doit être dégagé à partir des règles régissant l'interprétation des contrats ( ATF 136 III 186 consid. 3.1.1 p. 187; arrêt 4A_39/2019 précité consid. 3.1).</w:t>
      </w:r>
    </w:p>
    <w:p>
      <w:r>
        <w:rPr>
          <w:b/>
        </w:rPr>
        <w:t>E. 4.2.2</w:t>
      </w:r>
    </w:p>
    <w:p>
      <w:r>
        <w:t>Le locataire peut sous-louer tout ou partie de la chose avec le consentement du bailleur ( art. 262 al. 1 CO ). Le bailleur ne peut refuser son consentement que dans les hypothèses visées par l' art. 262 al. 2 CO , à savoir lorsque le locataire refuse de lui communiquer les conditions de la sous-location (let. a); lorsque les conditions de la sous-location sont abusives par rapport à celles du bail principal (let. b); ou si la sous-location présente pour le bailleur des inconvénients majeurs (let. c). Il en découle que, lorsque le locataire sous-loue sans requérir le consentement du bailleur, il ne viole son devoir de diligence et ne s'expose à une résiliation anticipée du contrat au sens de l' art. 257f al. 3 CO que lorsque le bailleur aurait disposé d'un motif valable au sens de l' art. 262 al. 2 CO pour s'opposer à la sous-location ( ATF 134 III 300 consid. 3.1 in fine pp. 302-304). Lorsque le locataire sous-loue le logement sans y être autorisé alors qu'il a perdu toute idée de reprendre un jour l'usage de celui-ci, il procède en réalité à une substitution de locataire par la voie détournée de la sous-location, ce qui justifie une résiliation anticipée ( art. 257f al. 3 CO ) ( ATF 134 III 446 consid. 2.4 p. 450; arrêt 4A_39/2019 précité consid. 4.1). De la sous-location, il faut distinguer l'hébergement. L'usage normal d'un logement implique le droit pour le locataire d'y héberger notamment son conjoint, son partenaire, son concubin, ses enfants, ainsi que d'autres proches, comme par exemple des amis (arrêt 4A_30/2019 du 4 février 2019 consid. 4.3; cf. DAVID LACHAT, in: Le droit du bail à loyer, 2019, n° 1.3.9 p. 59; DANIEL REUDT, in: Das schweizerische Mietrecht, SVIT-Kommentar, 4e éd., 2018, n° 15 ad art. 257f CO ). Si l'hébergement implique généralement que le locataire continue d'occuper lui-même l'appartement dans lequel il reçoit des proches, le Tribunal fédéral a admis que, lorsqu'un père met à disposition de son enfant majeur dont il a la charge un appartement dont il est locataire, il fait un usage normal de la chose louée, même s'il n'occupe plus l'appartement lui-même. En effet, en vertu de l' art. 277 al. 2 CC , les père et mère ont l'obligation de pourvoir à l'entretien de l'enfant, y compris à ses frais d'hébergement, de sorte qu'il n'y a pas de contrat entre eux, mais une obligation légale des parents envers l'enfant (arrêt 4A_39/2019 précité consid. 4.3). Il y a également hébergement lorsque le locataire n'occupe plus lui-même l'appartement, mais le laisse à la disposition de son époux dont il vit séparé. En effet, il n'y a pas entre eux de contrat de sous-location ou de prêt, mais une obligation légale de fidélité et d'assistance ( art. 159 al. 3 CC ). Lorsqu'il doit statuer sur requête de mesures protectrices de l'union conjugale, le juge doit notamment prendre les mesures en ce qui concerne le logement ( art. 176 al. 1 ch. 2 CC ). Autrement dit, lorsqu'il attribue le logement à un époux, il l'impose au locataire au titre de son obligation matrimoniale, mais sa décision ne modifie pas directement la relation contractuelle entre le locataire et le bailleur. En effet, seul le juge du divorce peut transférer à un époux, à certaines conditions, les droits et obligations découlant du bail ( art. 121 al. 1 CC ; ATF 134 III 446 consid. 2.1 p. 448 s.).</w:t>
      </w:r>
    </w:p>
    <w:p>
      <w:r>
        <w:rPr>
          <w:b/>
        </w:rPr>
        <w:t>E. 4.3</w:t>
      </w:r>
    </w:p>
    <w:p>
      <w:r>
        <w:t>Selon les constatations de fait de l'arrêt attaqué, non contestées par la bailleresse recourante, le bail a été conclu pour servir de logement à une personne physique. Il est établi que l'appartement a été occupé d'abord par l'administrateur de la société seul, puis avec son épouse dès 2005. Les époux se sont séparés en octobre 2015 et l'épouse est demeurée seule dans l'appartement. Par ordonnance de mesures protectrices de l'union conjugale du 8 juin 2016, la jouissance de l'appartement a été attribuée provisoirement à celle-ci. Il ressort des faits constatés que les époux étaient séparés mais non divorcés à la date de la résiliation du bail notifiée le 24 mars 2017. Comme la société locataire et l'époux ont rencontré des difficultés financières, l'épouse a payé directement le loyer à la bailleresse dès novembre 2016. Il n'est pas contesté par la bailleresse que, puisque le bail de l'appartement conclu par la personne morale était destiné à l'habitation, il était destiné à servir de logement à une personne physique. Cette déduction découle de l'interprétation de la volonté réelle des parties par la cour cantonale. Il n'est pas contesté non plus par la bailleresse que l'administrateur l'a valablement occupé, d'abord seul puis avec sa femme jusqu'en octobre 2015. La bailleresse recourante ne conteste pas non plus qu'il puisse être occupé par une personne dont l'identité importe peu, pourvu qu'elle soit un organe ou un employé de la SA. Tant que les époux ne sont pas divorcés, l'époux administrateur ne fait qu'assumer ses devoirs découlant du droit de la famille envers son épouse ( art. 159 al. 3 CC ) en lui laissant l'usage de l'appartement, comme le lui impose d'ailleurs l'ordonnance de mesures protectrices de l'union conjugale ( art. 176 al. 1 ch. 2 CC ). Cette mise à disposition de l'appartement doit être qualifiée d'hébergement de l'épouse par l'époux administrateur de la SA. Contrairement à ce que croit la recourante, l'appartement est donc toujours utilisé par l'administrateur de la société locataire, soit un organe, même s'il ne l'occupe plus personnellement et le laisse et doit le laisser à la disposition de son épouse. Il n'y a donc pas de sous-location. Le fait qu'à la suite de difficultés financières de la société et de l'époux, l'épouse ait assumé le paiement du loyer ne modifie pas cette qualification; il ne constitue en effet qu'une modalité d'exécution des contributions respectives que se doivent les époux en vertu de l' art. 163 CC . D'ailleurs, en vertu de l' art. 68 CO , le débiteur n'est tenu d'exécuter personnellement son obligation que si le créancier a un intérêt à l'exécution personnelle du débiteur, ce qui n'est pas le cas d'une prestation en argent. On relève enfin que, si l'on se trouvait en présence d'une sous-location, le paiement du loyer par le sous-locataire s'effectuerait en mains du locataire, et non en mains du bailleur. Il est superflu d'examiner si, comme le soutient la locataire intimée, les parties étaient convenues que la société locataire pouvait mettre l'appartement à disposition de n'importe quelle personne physique. La situation traitée par l'arrêt attaqué était celle d'une épouse séparée continuant à occuper l'appartement des époux selon ordonnance de mesures protectrices de l'union conjugale; l'intimée ne peut pas déduire des passages de l'arrêt cantonal (puisque la locataire était une personne morale, elle mettrait l'appartement à la disposition " d'une ou de plusieurs personnes physiques, lesquelles ne sont pas désignées dans le bail " ou " d'une ou de plusieurs personnes physiques "; le contrat de bail ne comporte par ailleurs " aucune limitation quant à l'identité de l'occupant ") que la cour cantonale aurait admis que la société locataire peut mettre l'appartement à la disposition de n'importe quels tiers, même sans lien avec elle. Il n'y a pas lieu d'examiner quelle serait la situation si les époux avaient déjà été divorcés au moment de la résiliation du bail (cf. art. 121 al. 1 CC ).</w:t>
      </w:r>
    </w:p>
    <w:p>
      <w:r>
        <w:rPr>
          <w:b/>
        </w:rPr>
        <w:t>E. 5</w:t>
      </w:r>
    </w:p>
    <w:p>
      <w:r>
        <w:t>Au vu de ce qui précède,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