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4A_596/2014 vom 18. März 2015</w:t>
      </w:r>
    </w:p>
    <w:p>
      <w:r>
        <w:t>Bundesgericht, 2015-03-18, DE</w:t>
      </w:r>
    </w:p>
    <w:p>
      <w:r>
        <w:rPr>
          <w:b/>
        </w:rPr>
        <w:t xml:space="preserve">Quelle: </w:t>
      </w:r>
      <w:r>
        <w:t>https://mcp.opencaselaw.ch/entscheid/bger_4A_596_2014</w:t>
      </w:r>
    </w:p>
    <w:p>
      <w:r>
        <w:t>FR: TF 4A_596/2014 du 18 mars 2015</w:t>
      </w:r>
    </w:p>
    <w:p>
      <w:r>
        <w:t>IT: TF 4A_596/2014 del 18 marzo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beträgt mehr als Fr. 30'000.-- (Art. 51 i.V.m. Art. 74 Abs. 1 lit. b BGG ) und die Beschwerdefrist ist eingehalten ( Art. 100 Abs. 1 BGG ). Auf die Beschwerde ist somit - unter Vorbehalt einer hinreichenden Begründung ( Art. 42 Abs. 2 und Art. 106 Abs. 2 BGG ) -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 der Vorinstanz anfechten will, muss klar und substanziiert aufzeigen, inwiefern diese Voraussetzungen erfüllt sein sollen ( BGE 140 III 16 E. 1.3.1 S. 18; 136 II 508 E. 1.2 S. 511; 133 III 393 E. 7.1 S. 398). Soweit sie den Sachverhalt ergänzen will, hat sie zudem mit Aktenhinweisen darzulegen, dass sie entsprechende rechtsrelevante Tatsachen und taugliche Beweismittel bereits im vorinstanzlichen Verfahren prozesskonform eingebracht hat ( BGE 140 III 86 E. 2 S. 90). Überdies hat sie darzutun, inwiefern die Behebung des gerügten Mangels für den Ausgang des Verfahrens entscheidend sein kann ( Art. 97 Abs. 1 BGG ).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S. 255).</w:t>
      </w:r>
    </w:p>
    <w:p>
      <w:r>
        <w:rPr>
          <w:b/>
        </w:rPr>
        <w:t>E. 2.2</w:t>
      </w:r>
    </w:p>
    <w:p>
      <w:r>
        <w:t>Diese Grundsätze verkennen die Beschwerdeführer, soweit sie in ihrer Beschwerdeschrift den vorinstanzlich festgestellten Sachverhalt erweitern, ohne diesbezügliche begründete Sachverhaltsrügen vorzubringen. Die entsprechenden Vorbringen bleiben für das Bundesgericht unbeachtlich.</w:t>
      </w:r>
    </w:p>
    <w:p>
      <w:r>
        <w:rPr>
          <w:b/>
        </w:rPr>
        <w:t>E. 2.3</w:t>
      </w:r>
    </w:p>
    <w:p>
      <w:r>
        <w:t>Die Beschwerdeführer rügen, die Vorinstanz habe willkürlich die aktenkundige Motivlage des Beschwerdegegners nicht gewürdigt, wonach dieser davon ausgegangen sei, ihm drohten auch in Zukunft noch Rechtshändel mit dem Beschwerdeführer 1 und dessen Gesellschaften. Ob dies zutrifft, kann offen bleiben, da - wie in der nachfolgenden Erwägung aufgezeigt wird - die Behebung des gerügten Mangels für den Ausgang des Verfahrens nicht entscheidend ist.</w:t>
      </w:r>
    </w:p>
    <w:p>
      <w:r>
        <w:rPr>
          <w:b/>
        </w:rPr>
        <w:t>E. 3</w:t>
      </w:r>
    </w:p>
    <w:p>
      <w:r>
        <w:t>Die Beschwerdeführer rügen, die Vorinstanz habe den Vergleichsvertrag falsch ausgelegt und damit Art. 18 i.V.m. Art. 1 OR verletzt.</w:t>
      </w:r>
    </w:p>
    <w:p>
      <w:r>
        <w:rPr>
          <w:b/>
        </w:rPr>
        <w:t>E. 3.1</w:t>
      </w:r>
    </w:p>
    <w:p>
      <w:r>
        <w:t>Mit einem Vergleichsvertrag legen die beteiligten Parteien einen Streit oder eine Ungewissheit über ein Rechtsverhältnis mit gegenseitigen Zugeständnissen bei ( BGE 132 III 737 E. 1.3; 130 III 49 E. 1.2 S. 51). Das gilt auch, wenn der Vergleich eine gerichtliche Auseinandersetzung beendet (siehe BGE 121 III 397 E. 2c S. 404).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mit Hinweisen).</w:t>
      </w:r>
    </w:p>
    <w:p>
      <w:r>
        <w:t>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(Urteile 4A_298/2014 vom 4. Dezember 2014 E. 3.4; 4A_288/2014 vom 6. August 2014 E. 2.2; 5A_353/2010 vom 16. August 2010 E. 3.2.2). Nach dem mutmasslichen Willen der Parteien rechtfertigt sich daher in der Regel die Annahme, dass solche Fragen sinngemäss im Vergleich beantwortet sind (Urteil 4A_298/2014 vom 4. Dezember 2014 E. 3.4).</w:t>
      </w:r>
    </w:p>
    <w:p>
      <w:r>
        <w:rPr>
          <w:b/>
        </w:rPr>
        <w:t>E. 3.2</w:t>
      </w:r>
    </w:p>
    <w:p>
      <w:r>
        <w:t>Die Vorinstanz hat ausgeführt, ein tatsächlicher übereinstimmender wirklicher Parteiwille lasse sich nicht feststellen, womit die Erklärungen der Parteien nach dem Vertrauensprinzip auszulegen seien. Nach dem Wortlaut des Vergleichs bestehe kein Vorbehalt bezüglich der arbeitsrechtlichen Prozesse. Weiter habe der Beschwerdegegner mittels des Vergleichs sämtliche Rechtsbeziehungen und Streitigkeiten mit dem Beschwerdeführer 1 und sämtlichen seiner Gesellschaften, darunter die Beschwerdeführerin 2, erledigen wollen. Er habe erklärt, er wolle danach von den Beschwerdeführern nichts mehr hören. Unter dieser Bedingung habe er schliesslich einen höheren Vergleichsbetrag akzeptiert. Die Beschwerdeführer hätten diese Motivation des Beschwerdegegners zum Vergleichsabschluss bestätigt. In der Folge seien daher die Beschwerdeführerin 2 und die B.________ Deutschland GmbH als prozessfremde Dritte in den Vergleich und damit in die umfassende Saldoerklärung einbezogen worden. Dies sei ein Indiz dafür, dass die Saldoklausel auch die allfälligen zukünftigen Forderungen aus den arbeitsrechtlichen Prozessen habe umfassen sollen. Diese Auslegung erscheine weiter plausibel, weil diese allfälligen Forderungen offenbar die noch einzig möglichen waren, welche im Verhältnis des Beschwerdegegners zur Beschwerdeführerin 2 überhaupt hätten relevant sein können, weil keine andere offene Rechtsbeziehung bestanden habe. Auch dies sei ein gewichtiger Anhaltspunkt dafür, dass die Saldoerklärung auch die allfälligen Verpflichtungen des Beschwerdegegners in Bezug auf die Auseinandersetzungen der Beschwerdeführerin 2 mit ehemaligen Mitarbeitern habe umfassen sollen. Da die Parteien von der Existenz der arbeitsrechtlichen Prozesse gewusst hätten und beide geäussert hätten, die noch offenen Rechtsbeziehungen definitiv beenden zu wollen, könne der Einbezug der Beschwerdeführerin 2 und der B.________ Deutschland GmbH wohl keinen anderen Sinn gehabt haben. Schliesslich ergebe sich aus dem Vergleich auch kein Ungleichgewicht der wirtschaftlichen Risiken, das gegen den Einbezug der arbeitsrechtlichen Prozesse sprechen würde. Den Risiken in Bezug auf die arbeitsrechtlichen Prozesse stünde das Verlustrisiko des Beschwerdeführers 1 im dem Vergleich zugrunde liegenden Prozess gegenüber, das vom Gericht als weit grösser als die Gewinnchancen (7 %) beurteilt worden sei. Ein Unterliegen hätte auch erhebliche Gerichtskosten und eine hohe Parteientschädigung zur Folge gehabt. Aufgrund der konkreten Interessenlage sei der Einbezug der arbeitsrechtlichen Prozesse nicht unangemessen.</w:t>
      </w:r>
    </w:p>
    <w:p>
      <w:r>
        <w:rPr>
          <w:b/>
        </w:rPr>
        <w:t>E. 3.3</w:t>
      </w:r>
    </w:p>
    <w:p>
      <w:r>
        <w:t>Dagegen bringen die Beschwerdeführer vor, diese Ausführungen stünden in einem unauflöslichen Widerspruch zur rechtsverbindlich festgestellten Tatsache, dass beide Parteien anlässlich der Vergleichsverhandlung gerade nicht an die Arbeitsgerichtsprozesse gedacht hätten. Deshalb habe der Beschwerdegegner dem mit den Prozessen befassten Anwalt auch nicht mitgeteilt, er sei nun für diese Prozesse nicht mehr zuständig. Entgegen der Ansicht der Vorinstanz sei es zudem nicht um bestehende Rechtsbeziehungen gegangen, sondern um Streitpunkte. Weiter habe durch den Vergleich der Streit um die Höhe des Kaufpreises der Aktien erledigt werden sollen und es sei nicht darum gegangen, den Kauf der Aktien auf eine neue vertragliche Rechtsgrundlage zu stellen. Die Beschwerdeführerin 2 könne daher nach wie vor ihre Rechte aus den Gewährleistungsklauseln dieses Vertrages gegenüber dem Beschwerdegegner geltend machen. Zu berücksichtigen sei weiter, dass die Arbeitsgerichtsprozesse nicht Gegenstand der Auseinandersetzung in dem durch Vergleich erledigten Prozess gewesen seien. Die vorinstanzlichen Ausführungen zum Ungleichgewicht der wirtschaftlichen Risiken seien falsch, da die Teilung der Gerichtskosten und der Verzicht auf Parteientschädigungen bereits Teil des ersten Vergleichsvorschlags von Fr. 112'500.-- gewesen seien (ohne Einbezug weiterer Parteien). Der Beschwerdegegner habe sein Vergleichsangebot nur deshalb um Fr. 80'000.-- aufgebessert, um auch die Beschwerdeführerin 2 und die B.________ Deutschland GmbH in die Saldoklausel einbeziehen zu können. Der Beschwerdegegner habe nicht in guten Treuen davon ausgehen dürfen, dass die Beschwerdeführer für eine Aufbesserung von Fr. 80'000.-- bereit gewesen seien, Prozessrisiken in sechsstelliger Höhe aus den Arbeitsgerichtsprozessen zu übernehmen.</w:t>
      </w:r>
    </w:p>
    <w:p>
      <w:r>
        <w:rPr>
          <w:b/>
        </w:rPr>
        <w:t>E. 3.4</w:t>
      </w:r>
    </w:p>
    <w:p>
      <w:r>
        <w:t>Entgegen der Ansicht der Beschwerdeführer ist die Tatsache, dass die Parteien beim Abschluss des Vergleichs nicht an die Arbeitsgerichtsprozesse gedacht haben, nicht gleichbedeutend mit einer Willensäusserung des Inhalts, diese nicht in den Vergleich und mithin in die Saldoerklärung einzubeziehen. Es ist unbestritten, dass der Beschwerdegegner mit dem Vergleich sämtliche Rechtsbeziehungen und Streitigkeiten mit den Beschwerdeführern hat erledigen und danach von diesen nichts mehr hat hören wollen. Diese Erklärung mussten die Beschwerdeführer nach dem Vertrauensprinzip so verstehen, dass die Saldoerklärung sämtliche bestehenden und möglichen zukünftigen Ansprüche gegen den Beschwerdegegner ohne Ausnahmen erfassen sollte. Es ist daher auch nicht relevant, ob die Forderungen aus den arbeitsrechtlichen Prozessen die noch einzig möglichen waren oder ob auch der Beschwerdegegner davon ausging, ihm drohten auch in Zukunft noch Rechtshändel mit dem Beschwerdeführer 1 und dessen Gesellschaften (vgl. oben E. 2.3). Die Ausführungen der Beschwerdeführer zum Aktienkaufvertrag und den darin enthaltenen Klauseln gehen an der Sache vorbei. Mit einer Saldoerklärung kann ohne weiteres auf vertragliche Ansprüche verzichtet werden, ohne dass die entsprechenden Verträge formell angepasst werden müssten. Bei der Beurteilung des (Un-) Gleichgewichts der wirtschaftlichen Risiken ist zu berücksichtigen, dass in den beiden weiteren arbeitsrechtlichen Prozessen die Beschwerdeführer die Chancen gemäss den vorinstanzlichen Feststellungen als etwas besser als im Fall H.________ einschätzten und die Chancen vom Beschwerdegegner als gut beurteilt würden. Bei einem Obsiegen würde sich ein positives Gesamtresultat ergeben. Die Übernahme des Verlust- und Gewinnrisikos für Fr. 80'000.-- stellt unter diesen Umständen kein klares wirtschaftliches Ungleichgewicht dar. Was schliesslich das Vorbringen angeht, die Arbeitsgerichtsprozesse seien nicht Gegenstand des Verfahrens gewesen, so ist dem entgegenzuhalten, dass in einen Vergleich auch ausserhalb des Verfahrens liegende Streitfragen einbezogen werden können. So wurden denn vorliegend auch die Beschwerdeführerin 2 und die B.________ Deutschland GmbH als Parteien in den Vergleich einbezogen, obwohl diese ursprünglich nicht Parteien des Verfahrens waren. Damit erweist sich die Auslegung des Vergleichs durch die Vorinstanz als bundesrechtskonform.</w:t>
      </w:r>
    </w:p>
    <w:p>
      <w:r>
        <w:rPr>
          <w:b/>
        </w:rPr>
        <w:t>E. 4</w:t>
      </w:r>
    </w:p>
    <w:p>
      <w:r>
        <w:t>Nach dem Gesagten ist die Beschwerde abzuweisen, soweit darauf einzutreten ist.</w:t>
      </w:r>
    </w:p>
    <w:p>
      <w:r>
        <w:t>Bei diesem Verfahrensausgang werden die Beschwerdeführer kosten- und entschädigungspflichtig (Art. 66 Abs. 1 und 5,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