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4A_595/2024 vom 27. Januar 2025</w:t>
      </w:r>
    </w:p>
    <w:p>
      <w:r>
        <w:t>Bundesgericht, 2025-01-27, DE</w:t>
      </w:r>
    </w:p>
    <w:p>
      <w:r>
        <w:rPr>
          <w:b/>
        </w:rPr>
        <w:t xml:space="preserve">Quelle: </w:t>
      </w:r>
      <w:r>
        <w:t>https://mcp.opencaselaw.ch/entscheid/bger_4A_595_2024</w:t>
      </w:r>
    </w:p>
    <w:p>
      <w:r>
        <w:t>FR: TF 4A_595/2024 du 27 janvier 2025</w:t>
      </w:r>
    </w:p>
    <w:p>
      <w:r>
        <w:t>IT: TF 4A_595/2024 del 27 gennaio 2025</w:t>
      </w:r>
    </w:p>
    <w:p>
      <w:pPr>
        <w:pStyle w:val="Heading2"/>
      </w:pPr>
      <w:r>
        <w:t>Erwägungen</w:t>
      </w:r>
    </w:p>
    <w:p>
      <w:r>
        <w:rPr>
          <w:b/>
        </w:rPr>
        <w:t>E. 1</w:t>
      </w:r>
    </w:p>
    <w:p>
      <w:r>
        <w:t>Mit Urteil vom 4. Juni 2024 erteilte das Einzelgericht Audienz am Bezirksgericht Zürich dem Beschwerdegegner in der Betreibung Nr. xxx des Betreibungsamtes X.________ (Zahlungsbefehl vom 14. Juni 2022) für Fr. 45'120.55 nebst Zins zu 4.5 % seit 8. Juni 2022, Fr. 3'420.35 nebst Zins zu 4.5 % seit 8. Juni 2022 und Fr. 60.70 die definitive Rechtsöffnung. Im Mehrumfang wies es das Gesuch ab. Dagegen erhob die Beschwerdeführerin Beschwerde an das Obergericht des Kantons Zürich. Das Obergericht wies mit Urteil vom 25. September 2024 die Beschwerde als offensichtlich unbegründet ab, soweit es darauf eintrat. Gegen den Entscheid des Obergerichts erhob die Beschwerdeführerin mit Eingabe vom 13. November 2024 Beschwerde an das Bundesgericht. Mit Präsidialverfügung vom 15. November 2024 wurde das Gesuch um Gewährung der aufschiebenden Wirkung abgewiesen, weil es nicht rechtsgenüglich begründet worden ist. Auf das Einholen von Vernehmlassungen zur Beschwerde wurde verzichtet.</w:t>
      </w:r>
    </w:p>
    <w:p>
      <w:r>
        <w:rPr>
          <w:b/>
        </w:rPr>
        <w:t>E. 2.1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Vorinstanz ging im angefochtenen, 18-seitigen Entscheid im Einzelnen auf die verschiedensten Vorwürfe der Beschwerdeführerin ein und widerlegte sie alle. Dagegen schildert die Beschwerdeführerin lediglich ihre Sicht der Dinge. Sie macht ausführliche theoretische Ausführungen zu verschiedensten Themen, rügt die Verletzung diverser Rechtsnormen, stellt 15 Rechtsbegehren und verlangt darin unter anderem auch mehrfach, dass Gerichtsentscheide, Zahlungsbefehle und anderes für nichtig zu erklären seien. Sie geht in ihrer weitschweifigen Eingabe indessen nicht hinreichend konkret auf die Erwägungen der Vorinstanz ein, geschweige denn zeigt sie nachvollziehbar auf, welche Rechte die Vorinstanz mit ihrem Entscheid inwiefern verletzt haben soll. Sie genügt damit den obigen Begründungsanforderungen offensichtlich nicht. Auf die Beschwerde ist somit mangels hinreichender Begründung nicht einzutreten ( Art. 108 Abs. 1 lit. b BGG ).</w:t>
      </w:r>
    </w:p>
    <w:p>
      <w:r>
        <w:rPr>
          <w:b/>
        </w:rPr>
        <w:t>E. 4</w:t>
      </w:r>
    </w:p>
    <w:p>
      <w:r>
        <w:t>Bei diesem Ausgang des Verfahrens sind die Gerichtskosten der Beschwerdeführerin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