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4A_595/2012 vom 21. Dezember 2012</w:t>
      </w:r>
    </w:p>
    <w:p>
      <w:r>
        <w:t>Bundesgericht, 2012-12-21, DE</w:t>
      </w:r>
    </w:p>
    <w:p>
      <w:r>
        <w:rPr>
          <w:b/>
        </w:rPr>
        <w:t xml:space="preserve">Quelle: </w:t>
      </w:r>
      <w:r>
        <w:t>https://mcp.opencaselaw.ch/entscheid/bger_4A_595_2012</w:t>
      </w:r>
    </w:p>
    <w:p>
      <w:r>
        <w:t>FR: TF 4A_595/2012 du 21 décembre 2012</w:t>
      </w:r>
    </w:p>
    <w:p>
      <w:r>
        <w:t>IT: TF 4A_595/2012 del 21 dicembre 2012</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Kantonsgericht St. Gallen ist ein verfahrensabschliessender Endentscheid ( Art. 90 BGG ) einer letzten kantonalen Instanz ( Art. 75 Abs. 1 BGG ). Der Streitwert beträgt Fr. 85'000.--, womit die erforderliche Streitwertgrenze erreicht ist ( Art. 74 Abs. 1 lit. a BGG ). Da auch die übrigen Sachurteilsvoraussetzungen erfüllt sind, ist auf die Beschwerde - unter Vorbehalt einer rechtsgenüglichen Begründung ( Art. 42 Abs. 2 und Art. 106 Abs. 2 BGG ) - einzutreten.</w:t>
      </w:r>
    </w:p>
    <w:p>
      <w:r>
        <w:rPr>
          <w:b/>
        </w:rPr>
        <w:t>E. 2</w:t>
      </w:r>
    </w:p>
    <w:p>
      <w:r>
        <w:t>Die Vorinstanz erwog, dass der Beschwerdeführer aus begründetem Anlass im Sinne von Art. 340c Abs. 2 OR gekündigt habe, womit sich die Beschwerdegegnerin nicht auf das vereinbarte nachträgliche Konkurrenzverbot berufen könne.</w:t>
      </w:r>
    </w:p>
    <w:p>
      <w:r>
        <w:t>Allerdings sei der Arbeitnehmer auch dann, wenn eine Kündigung aus begründetem Anlass zum Wegfall des nachvertraglichen Konkurrenzverbots geführt habe, während der Kündigungsfrist noch an das aus Art. 321a OR fliessende Konkurrenzverbot gebunden. Zwar sei es ihm erlaubt, während der Kündigungsfrist eine nachvertragliche konkurrenzierende Tätigkeit vorzubereiten, worunter auch die Gründung einer Konkurrenzgesellschaft gehöre, dürfe aber damit eine vertragliche Erweiterung des aus der allgemeinen Treuepflicht ( Art. 321a OR ) fliessenden Konkurrenzverbots nicht verletzen. Ein solches vertraglich erweitertes Konkurrenzverbot ergebe sich aus Ziffer XIV des Arbeitsvertrages; indem der Beschwerdeführer während des laufenden Arbeitsverhältnisses ein Konkurrenzunternehmen mitgegründet und sich daran beteiligt habe, habe er Ziffer XIV des Arbeitsvertrages verletzt.</w:t>
      </w:r>
    </w:p>
    <w:p>
      <w:r>
        <w:rPr>
          <w:b/>
        </w:rPr>
        <w:t>E. 3</w:t>
      </w:r>
    </w:p>
    <w:p>
      <w:r>
        <w:t>Nicht mehr strittig ist vor Bundesgericht die Frage, ob der Beschwerdeführer aus begründetem Anlass gekündigt hat und damit das nachvertragliche Konkurrenzverbot weggefallen ist. Streitig ist nur noch die Frage, ob die Vorinstanz den Beschwerdeführer zu Recht zur Bezahlung einer (reduzierten) Konventionalstrafe, wegen Verletzung der vertraglichen Erweiterung des aus der allgemeinen Treuepflicht fliessenden Konkurrenzverbots, verurteilt hat.</w:t>
      </w:r>
    </w:p>
    <w:p>
      <w:r>
        <w:rPr>
          <w:b/>
        </w:rPr>
        <w:t>E. 4.1</w:t>
      </w:r>
    </w:p>
    <w:p>
      <w:r>
        <w:t>Der Beschwerdeführer rügt eine Verletzung von Art. 321a ff. OR , insbesondere von Art. 321e OR . Er macht geltend, der vereinbarten Konventionalstrafe komme eindeutig nur Schadenausgleichscharakter zu, was gestützt auf Art. 321e OR unzulässig sei. Wäre es die Absicht der Parteien gewesen, mit der Konventionalstrafe, nebst der Schadensausgleichsfunktion, auch eine Konventionalstrafe mit Vorteilsausgleichs-, Straf- und/oder Disziplinarcharakter zu vereinbaren, hätte dies ausdrücklich und separat im Arbeitsvertrag geregelt werden müssen.</w:t>
      </w:r>
    </w:p>
    <w:p>
      <w:r>
        <w:t>Aus der Formulierung der Ziffer XIV des Arbeitsvertrages könne man nicht schliessen, es sei zusätzlich eine Konventionalstrafe mit Bussencharakter vereinbart worden. Aus dem Schlusssatz gehe vielmehr hervor, dass sich der Arbeitgeber vorbehalte, den Ersatz des weiteren Schadens geltend zu machen. Daraus ergebe sich e contrario, dass die Konventionalstrafe nach dem Willen der Parteien nur Schadensausgleichsfunktion haben sollte.</w:t>
      </w:r>
    </w:p>
    <w:p>
      <w:r>
        <w:rPr>
          <w:b/>
        </w:rPr>
        <w:t>E. 4.2</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 BGE 132 III 24 E. 4 S. 27 f.; 131 III 606 E. 4.1 S. 611;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4.3</w:t>
      </w:r>
    </w:p>
    <w:p>
      <w:r>
        <w:t>Die Vorinstanz hat festgestellt, dass die von den Parteien im Arbeitsvertrag vom 23. April 2008 in Ziffer XIV vereinbarte Konventionalstrafe einerseits Straf- und Disziplinarcharakter habe, andererseits aber offensichtlich auch deshalb vereinbart worden sei, um einen allfälligen Schaden der Beschwerdegegnerin auszugleichen. Dass dies insbesondere auch von der Beschwerdegegnerin so verstanden wurde, ergebe sich einerseits implizit aus dem Umstand, dass sie die Höhe der geltend gemachten Konventionalstrafe unter anderem mit dem angeblich eingetretenen Schaden begründe, und es folge andererseits auch aus ihrer eigenen Übersetzung des Schlusssatzes von Ziffer XIV des Arbeitsvertrages ("Der Arbeitgeber behält sich ausserdem vor, den Ersatz des weiteren Schadens geltend zu machen"). Die vereinbarte Konventionalstrafe habe demnach teilweisen Ersatzcharakter und sei in dieser Hinsicht - soweit Verletzungen des Konkurrenzverbots während des laufenden Arbeitsverhältnisses betroffen seien - aufgrund der relativ zwingenden Bestimmung von Art. 321e i.V.m. Art. 362 Abs. 1 OR ungültig. Aus diesem Grund sei dem erstinstanzlichen Gericht beizupflichten, dass die vereinbarte Konventionalstrafe herabzusetzen sei.</w:t>
      </w:r>
    </w:p>
    <w:p>
      <w:r>
        <w:rPr>
          <w:b/>
        </w:rPr>
        <w:t>E. 4.4</w:t>
      </w:r>
    </w:p>
    <w:p>
      <w:r>
        <w:t>Diese Ausführungen sind bundesrechtlich nicht zu beanstanden. Die Vorinstanz hat mittels Auslegung des Schlusssatzes von Ziffer XIV des Arbeitsvertrages ("In addition, the Employer reserves the right to claim compensation for damages as well as the right to the remedy of specific performance"; deutsche Übersetzung: "Der Arbeitgeber behält sich ausserdem vor, den Ersatz des weiteren Schadens geltend zu machen") erkannt, dass der vereinbarten Konventionalstrafe nebst der Straf- und Disziplinarfunktion auch Ersatzcharakter zukommt. Es ist nicht ersichtlich, inwiefern diese Auslegung falsch sein soll, plädiert doch der Beschwerdeführer selber dafür, dass die von den Parteien in Ziffer XIV vereinbarte Konventionalstrafe als Ganzes Ersatzcharakter zukomme. Bezüglich der Feststellung der Vorinstanz, wonach nicht zu bezweifeln sei, dass der vereinbarten Konventionalstrafe (auch) Straf- und Disziplinarcharakter haben sollte, was dem Üblichen entspreche, bringt der Beschwerdeführer nichts vor. Er macht lediglich geltend, dass disziplinarische Massnahmen im Arbeitsvertrag klar umschrieben, verhältnismässig und vorbestimmt sein müssen, tut aber nicht dar, inwiefern Ziffer XIV des Arbeitsvertrages dem nicht genügen würde.</w:t>
      </w:r>
    </w:p>
    <w:p>
      <w:r>
        <w:t>Es ist demnach auch im bundesgerichtlichen Verfahren davon auszugehen, dass der von den Parteien vereinbarten Konventionalstrafe sowohl Ersatz- als auch Strafcharakter zukommt.</w:t>
      </w:r>
    </w:p>
    <w:p>
      <w:r>
        <w:rPr>
          <w:b/>
        </w:rPr>
        <w:t>E. 5</w:t>
      </w:r>
    </w:p>
    <w:p>
      <w:r>
        <w:t>Insoweit als der vereinbarten Konventionalstrafe somit Ersatzcharakter zukommt, hat die Vorinstanz zu Recht erwogen, dass diese mit Art. 321e OR unvereinbar und dementsprechend zu reduzieren ist.</w:t>
      </w:r>
    </w:p>
    <w:p>
      <w:r>
        <w:t>Der Beschwerdeführer bringt vor, die von der Vorinstanz vorgenommene Kürzung der Konventionalstrafe sei unverhältnismässig. Eine Konventionalstrafe dürfe einen Tagesverdienst nicht überschreiten.</w:t>
      </w:r>
    </w:p>
    <w:p>
      <w:r>
        <w:rPr>
          <w:b/>
        </w:rPr>
        <w:t>E. 5.1</w:t>
      </w:r>
    </w:p>
    <w:p>
      <w:r>
        <w:t>Gemäss Art. 163 Abs. 3 OR hat der Richter übermässig hohe Konventionalstrafen nach seinem Ermessen herabzusetzen.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vereinbarte Mass übersteigt ( BGE 133 III 201 E. 5.2 S. 209; 133 III 43 E. 3.3.1 S. 48). Eine Herabsetzung der Konventionalstrafe rechtfertigt sich insbesondere, wenn zwischen dem vereinbarten Betrag und dem im Zeitpunkt der Vertragsverletzung bestehenden Interesse des Ansprechers, daran im vollen Umfang festzuhalten, ein krasses Missverhältnis besteht. Ob diese Voraussetzung gegeben ist, entscheidet sich nicht allgemein, sondern hängt von den Umständen des Einzelfalles ab. Dazu gehören insbesondere die Art und Dauer des Vertrags, die Schwere des Verschuldens und der Vertragsverletzung, das Interesse des Ansprechers an der Einhaltung des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133 III 201 E. 5.2 S. 209 f.; 133 III 43 E. 3.3.2 S. 48 f.; je mit Hinweisen). Die tatsächlichen Voraussetzungen einer Herabsetzung und damit auch das Missverhältnis zum Erfüllungsinteresse sind nicht vom Gläubiger, sondern vom Schuldner zu behaupten und nachzuweisen ( Art. 8 ZGB ; BGE 133 III 201 E. 5.2 S. 210; 133 III 43 E. 4.1 S. 53 f.).</w:t>
      </w:r>
    </w:p>
    <w:p>
      <w:r>
        <w:t>Das Ermessen des Richters ( Art. 163 Abs. 3 OR ; Art. 4 ZGB ) bezieht sich sowohl auf die Frage der Übermässigkeit der Strafe als auch auf den Umfang der Herabsetzung. Beide Male hat der Richter nach Recht und Billigkeit zu entscheiden. Wenn er der Auffassung ist, die Strafe sei übermässig im vorstehend genannten Sinn, hat er sie bloss soweit zu reduzieren, dass sie nicht mehr in dieser Weise als übermässig erscheint ( BGE 133 III 201 E. 5.2 S. 210). Diesen Ermessensentscheid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129 III 380 E. 2 S. 381 f.).</w:t>
      </w:r>
    </w:p>
    <w:p>
      <w:r>
        <w:rPr>
          <w:b/>
        </w:rPr>
        <w:t>E. 5.2</w:t>
      </w:r>
    </w:p>
    <w:p>
      <w:r>
        <w:t>Die Vorinstanz gelangte gestützt auf diese Grundsätze zu einer Herabsetzung der vereinbarten Konventionalstrafe bzw. hat erwogen, dass die vom erstinstanzlichen Gericht vorgenommene Kürzung der eingeklagten Konventionalstrafe auf Fr. 25'000.-- angemessen sei. Dabei falle insbesondere ins Gewicht, dass der Beschwerdeführer das Konkurrenzverbot nur punktuell, nämlich mit der Mitwirkung bei der Gründung der Konkurrenzgesellschaft und der finanziellen Beteiligung an dieser verletzt habe, wobei dies zu einem Zeitpunkt gewesen sei, als das Ende des Verbots unmittelbar bevorgestanden habe, nämlich rund zweieinhalb Wochen vor der Beendigung des Arbeitsverhältnisses. Vor diesem Hintergrund dürfe das Interesse der Beschwerdegegnerin an der Einhaltung des Verbots nicht überbewertet werden. Hinzu komme, dass die Verletzung während der Kündigungsfrist erfolgt sei und dem Konkurrenzverbot in dieser Zeit - zumal der Beschwerdeführer das Arbeitsverhältnis aus begründetem Anlass gekündigt habe - nicht mehr das gleiche Gewicht habe beigemessen werden können, welches ihm im ungekündigten Verhältnis zugekommen wäre. Andererseits falle in Betracht, dass den Beschwerdeführer ein nicht unerhebliches Verschulden treffe; der gesetzlichen Treuepflicht komme bei Mitarbeitern in Kaderfunktion, wie sie der Beschwerdeführer inne gehabt habe, eine erhöhte Bedeutung zu. Hinzu komme, dass der Beschwerdeführer - wenn auch nur für beschränkte Zeit - Einblick in den schweizerischen Kundenkreis der Beschwerdegegnerin gehabt habe und demnach auch davon auszugehen sei, dass er die Geschäfts- und Fabrikationsgeheimnisse gekannt habe. Schliesslich sei dem Beschwerdeführer entgegen zu halten, dass er es in der Hand gehabt habe, auf eine Verschiebung der Gründung der Konkurrenzgesellschaft um wenige Wochen hinzuwirken.</w:t>
      </w:r>
    </w:p>
    <w:p>
      <w:r>
        <w:rPr>
          <w:b/>
        </w:rPr>
        <w:t>E. 5.3</w:t>
      </w:r>
    </w:p>
    <w:p>
      <w:r>
        <w:t>Es besteht kein hinlänglicher Anlass für das Bundesgericht, in das Ermessen der Vorinstanz einzugreifen. Die Vorinstanz hat überzeugend dargelegt, inwiefern eine Kürzung der eingeklagten Konventionalstrafe auf Fr. 25'000.--, was rund dem Doppelten des dem Beschwerdeführer im Durchschnitt ausbezahlten Bruttomonatslohn entspricht, angemessen ist. Daran ändert nichts, dass sich das erstinstanzliche Gericht bei der Kürzung der Konventionalstrafe nicht mit der Funktion der vereinbarten Konventionalstrafe, resp. mit dem mit Art. 321e OR unvereinbaren Ersatzcharakter auseinandergesetzt hat. Der Beschwerdeführer bringt nicht vor, inwiefern die Vorinstanz bei der Prüfung der Angemessenheit ihr Ermessen überschritten hätte, noch was eine Korrektur des vorinstanzlichen Ermessensentscheids rechtfertigen könnte. Insbesondere kann der vom Beschwerdeführer zitierten Lehrmeinung, wonach eine Konventionalstrafe einen Tagesverdienst nicht überschreiten dürfe, nicht gefolgt werden.</w:t>
      </w:r>
    </w:p>
    <w:p>
      <w:r>
        <w:rPr>
          <w:b/>
        </w:rPr>
        <w:t>E. 5.4</w:t>
      </w:r>
    </w:p>
    <w:p>
      <w:r>
        <w:t>Eine Verletzung von Bundesrecht ist nicht ersichtlich. Der angefochtene Entscheid ist zu bestätigen.</w:t>
      </w:r>
    </w:p>
    <w:p>
      <w:r>
        <w:rPr>
          <w:b/>
        </w:rPr>
        <w:t>E. 6</w:t>
      </w:r>
    </w:p>
    <w:p>
      <w:r>
        <w:t>Nach dem Gesagten erweist sich die Beschwerde als unbegründet. Sie ist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