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4A_595/2008 vom 20. März 2009</w:t>
      </w:r>
    </w:p>
    <w:p>
      <w:r>
        <w:t>Bundesgericht, 2009-03-20, FR</w:t>
      </w:r>
    </w:p>
    <w:p>
      <w:r>
        <w:rPr>
          <w:b/>
        </w:rPr>
        <w:t xml:space="preserve">Quelle: </w:t>
      </w:r>
      <w:r>
        <w:t>https://mcp.opencaselaw.ch/entscheid/bger_4A_595_2008</w:t>
      </w:r>
    </w:p>
    <w:p>
      <w:r>
        <w:t>FR: TF 4A_595/2008 du 20 mars 2009</w:t>
      </w:r>
    </w:p>
    <w:p>
      <w:r>
        <w:t>IT: TF 4A_595/2008 del 20 marzo 2009</w:t>
      </w:r>
    </w:p>
    <w:p>
      <w:pPr>
        <w:pStyle w:val="Heading2"/>
      </w:pPr>
      <w:r>
        <w:t>Erwägungen</w:t>
      </w:r>
    </w:p>
    <w:p>
      <w:r>
        <w:rPr>
          <w:b/>
        </w:rPr>
        <w:t>E. 1</w:t>
      </w:r>
    </w:p>
    <w:p>
      <w:r>
        <w:t>L'arrêt du 29 mars 2006 est une décision incidente susceptible d'être attaquée avec la décision finale, selon l' art. 93 al. 3 LTF ; celui du 13 novembre 2008 est une décision finale selon l' art. 90 LTF .</w:t>
      </w:r>
    </w:p>
    <w:p>
      <w:r>
        <w:t>Pour le surplus, le recours est dirigé contre deux jugements rendus en matière civile ( art. 72 al. 1 LTF ), en dernière - et unique - instance cantonale ( art. 75 al. 1 LTF ). Ses auteurs ont pris part à cette instance et succombé dans leurs conclusions ( art. 76 al. 1 LTF ). La valeur litigieuse excède le minimum légal de 30'000 fr. (art. 51 al. 1 let. a et 74 al. 1 let. b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promesse de vente conclue le 5 juin 2003 est un contrat relatif aux immeubles, aux termes de l'art. 119 de la loi fédérale sur le droit international privé (LDIP). La forme de ce contrat est impérativement régie par le droit suisse pour les immeubles de S.________, selon l' art. 119 al. 3 LDIP ; il s'agit de la forme authentique qui est imposée, pour une promesse de vente, par l' art. 216 al. 2 CO .</w:t>
      </w:r>
    </w:p>
    <w:p>
      <w:r>
        <w:t>La forme est régie par le droit français pour les immeubles de F.________, à moins que ce droit n'admette l'application d'un autre droit ( art. 119 al. 3 LDIP ); au surplus, sur tous points autres que la forme, le droit du lieu de situation est aussi applicable, sous réserve d'une éventuelle élection de droit ( art. 119 al. 1 et 2 LDIP ).</w:t>
      </w:r>
    </w:p>
    <w:p>
      <w:r>
        <w:t>La Cour civile a examiné la validité et les effets de la promesse de vente au regard du droit suisse pour les immeubles de S.________ et du droit français pour ceux de F.________. Elle est parvenue à la conclusion que la promesse de vente passée devant un notaire jurassien est en principe valable, à la forme, aussi pour ces immeubles-ci. Cette approche et ce dernier point sont incontestés, de sorte qu'il n'y a pas lieu d'y revenir.</w:t>
      </w:r>
    </w:p>
    <w:p>
      <w:r>
        <w:rPr>
          <w:b/>
        </w:rPr>
        <w:t>E. 3.1</w:t>
      </w:r>
    </w:p>
    <w:p>
      <w:r>
        <w:t>Les défendeurs contestent que la forme authentique de l' art. 216 al. 2 CO soit respectée. Ils tiennent pour insuffisant d'avoir spécifié un prix global, dans la promesse de vente, au montant de 1'600'000 fr., pour des immeubles et des choses mobilières; ils affirment que le prix des immeubles aurait dû être indiqué séparément.</w:t>
      </w:r>
    </w:p>
    <w:p>
      <w:r>
        <w:t>La Cour civile a jugé que, sur la base des preuves disponibles, le prix des diverses catégories de biens était déterminable de manière objective; elle a constaté un prix de 650'000 fr. pour les immeubles de S.________ et un prix de 300'000 fr. pour ceux de F.________. Sur ces constatations, les demandeurs se plaignent d'un jugement arbitraire, donc contraire à l' art. 9 Cst.</w:t>
      </w:r>
    </w:p>
    <w:p>
      <w:r>
        <w:rPr>
          <w:b/>
        </w:rPr>
        <w:t>E. 3.2</w:t>
      </w:r>
    </w:p>
    <w:p>
      <w:r>
        <w:t>Selon la jurisprudence concernant l' art. 216 CO , la forme authentique doit porter sur tous les éléments objectivement essentiels du contrat, et aussi sur les points objectivement secondaires mais subjectivement essentiels, pour autant que ces derniers, de par leur nature, constituent un élément du contrat de vente; il s'agit de tous les éléments qui affectent le rapport entre la prestation et la contre-prestation issues de la vente ( ATF 113 II 402 consid. 2a p. 403; voir aussi ATF 119 II 135 consid. 2a p. 138). L'acte authentique doit donc énoncer toutes les contre-prestations promises en échange du bien immobilier ( ATF 101 II 329 consid. 3a p. 331), et le prix indiqué doit correspondre à celui réellement convenu; à défaut, l'acte est nul parce que simulé ( ATF 94 II 270 p. 273).</w:t>
      </w:r>
    </w:p>
    <w:p>
      <w:r>
        <w:t>En cas de contrat mixte, cumulant la vente d'un immeuble et d'autres prestations du vendeur, il est loisible aux parties de convenir d'un prix global qui sera la contrepartie de ce bien et de ces autres prestations. Certes, il faut alors que ces dernières soient également spécifiées dans l'acte authentique, car c'est à cette condition, seulement, que l'acte satisfait à l'exigence de l'indication exacte et complète de tous les éléments affectant le rapport entre les prestations qui incluent une vente d'immeuble, d'une part, et la contre-prestation d'autre part. Cela concerne, en particulier, le contrat mixte de vente et d'entreprise, où la vente d'un bien-fonds est combinée avec la promesse d'y réaliser une construction, et cela concerne aussi le contrat cumulant, comme en l'espèce, la vente d'immeubles et de choses mobilières (Markus Reber, Der Umfang des Formzwangs beim Grundstückkauf, Jusletter, 9 mai 2005, nos 113 et 129; Christoph Leuenberger, Abschluss des Grundstückkaufvertrages, in Der Grundstückkauf, 2001, p. 27 et ss, nos 118 et 132; Hermann Laim, in Commentaire bâlois, 3e éd., 2007, n° 56 ad art. 657 CC ; Hans Giger, in Commentaire bernois, 1997, n° 276 ad art. 216 CO ).</w:t>
      </w:r>
    </w:p>
    <w:p>
      <w:r>
        <w:t>Les défendeurs se réfèrent à un arrêt du Tribunal fédéral du 9 juillet 1991 ( ATF 117 II 259 ). Cette décision, qui avait pour objet des prétentions fondées sur un contrat d'entreprise, contient le passage ci-après (p. 264/265):</w:t>
      </w:r>
    </w:p>
    <w:p>
      <w:r>
        <w:t>Der für den Grundstückkauf geltende Formzwang erstreckt sich bloss auf Abmachungen im Rahmen des Kaufvertrages, nicht aber auf sonstige Übereinkünfte, selbst wenn für die Parteien der Bestand der einen Abrede conditio sine qua non für die Zustimmung zur zweiten darstellt (BGE 113 II 404 mit Hinweisen). Auch bei einem gemischten Vertragsverhältnis unterstehen deshalb die werkvertraglichen Abreden nicht der Formpflicht, wenn sie ein selbständiges Leistungspaar bilden (BGE 107 II 215 f. E. 4; Gauch, a.a.O., S. 87/8 Rz. 302; Leuenberger, Abschluss des Grundstückkaufvertrages, in: Der Grundstückkauf, S. 83/4 Rz. 153). Das setzt jedoch voraus, dass für den Erwerb des unüberbauten Grundstückes und die Erstellung des Bauwerks getrennte Vergütungen festgesetzt werden (Gauch, a.a.O., S. 88 Rz. 303).</w:t>
      </w:r>
    </w:p>
    <w:p>
      <w:r>
        <w:t>Sur la base de cette dernière phrase, les défendeurs affirment que lorsque les parties concluent simultanément une vente d'immeuble et un autre contrat, tel qu'un contrat d'entreprise ou une vente de choses mobilières, un prix spécifique, propre à l'immeuble vendu, doit obligatoirement ressortir de l'acte authentique. Or, dans la décision précitée, le Tribunal fédéral a seulement rappelé que des prix distincts doivent être déterminables pour l'immeuble, d'une part, et pour les prestations d'entrepreneur, d'autre part, dans le cas où ces dernières ne sont pas énoncées dans l'acte authentique; pour le surplus, il n'a pas exclu que l'indication d'un prix global soit suffisante, au regard de l' art. 216 CO , lorsque, au contraire, toutes les prestations destinées à accompagner la vente d'un immeuble sont aussi énoncées dans l'acte. Les défendeurs fondent leur argumentation sur une lecture erronée et incomplète de cet arrêt de 1991. Il est vrai que ce même arrêt est cité de façon semblablement erronée dans l'arrêt du Tribunal fédéral du 23 juin 2004 (4P.97/2004; consid. 4.4), mais cette méprise n'influence pas la portée de l' art. 216 al. 2 CO .</w:t>
      </w:r>
    </w:p>
    <w:p>
      <w:r>
        <w:rPr>
          <w:b/>
        </w:rPr>
        <w:t>E. 3.3</w:t>
      </w:r>
    </w:p>
    <w:p>
      <w:r>
        <w:t>Le prix global de 1'600'000 fr. est exempt de toute ambiguïté. La Cour civile a jugé que tous les biens promis en échange, mobiliers ou immobiliers, tant à S.________ qu'à F.________, sont objectivement déterminables sur la base de l'acte authentique (cf. ATF 127 III 248 consid. 3d p. 254), et cela n'est pas contesté par les défendeurs. Le moyen tiré de cette dernière disposition est donc privé de fondement. La Cour civile aurait pu se dispenser de rechercher si un prix distinct, pour les immeubles, était convenu entre les parties et déterminable d'après l'acte, car ce point n'est d'aucune importance du point de vue de ladite disposition.</w:t>
      </w:r>
    </w:p>
    <w:p>
      <w:r>
        <w:t>Selon les défendeurs, faute d'une détermination spécifique du prix des immeubles, la promesse de vente contrevient aussi, en ce qui concerne le droit suisse, à l' art. 184 CO définissant le contrat de vente. Cette argumentation est difficilement intelligible; elle semble plutôt mettre en cause l' art. 2 al. 1 CO selon lequel tout contrat nécessite l'accord des parties sur ses éléments essentiels. Il demeure que, comme on l'a vu, la prestation et la contre-prestation sont définies de manière suffisante dans la promesse du 5 juin 2003.</w:t>
      </w:r>
    </w:p>
    <w:p>
      <w:r>
        <w:rPr>
          <w:b/>
        </w:rPr>
        <w:t>E. 4</w:t>
      </w:r>
    </w:p>
    <w:p>
      <w:r>
        <w:t>Les défendeurs prétendent avoir conclu cette promesse sous l'influence de l'erreur et de la crainte; ils invoquent les art. 23, 24 al. 1 ch. 4 et 29 al. 1 CO.</w:t>
      </w:r>
    </w:p>
    <w:p>
      <w:r>
        <w:t>Dans les pourparlers qui ont précédé la conclusion de ce contrat, les parties ont envisagé de substituer, au droit d'habiter un appartement du bâtiment n° 99 de S.________, la jouissance d'un « chalet » qui serait édifié aux frais du demandeur sur un bien-fonds de F.________. Les défendeurs affirment avoir compté sur ce « chalet », pour leur logement futur, encore au moment de conclure la promesse de vente, et s'être alors trouvés dans l'erreur parce que leur cocontractant, en réalité, ne voulait pas faire construire ce nouveau bâtiment.</w:t>
      </w:r>
    </w:p>
    <w:p>
      <w:r>
        <w:t>L'erreur essentielle de l' art. 24 al. 1 ch. 4 CO peut porter sur un fait futur, mais seulement si, lors de la conclusion du contrat, ce fait pouvait objectivement être tenu pour certain; l'erreur est au contraire exclue lorsque le fait futur était expectatif ou aléatoire ( ATF 118 II 297 ; Bruno Schmidlin, in Commentaire bernois, nos 202 à 210 ad art. 23 et 24 CO ). Compte tenu que la promesse de vente prévoyait textuellement, pour les défendeurs, le droit d'habiter un logement déjà disponible sur le domaine, l'éventualité d'obtenir un « chalet » était hautement expectative. Au demeurant, rien n'exclut que cette solution ne finisse par réunir les suffrages de toutes les parties, puisque, selon les constatations de la Cour civile, aucune d'elles ne veut plus fournir ni obtenir le logement désigné dans le bâtiment n° 99.</w:t>
      </w:r>
    </w:p>
    <w:p>
      <w:r>
        <w:t>La crainte était celle de H.X.________ seulement; prétendument, celui-ci n'a concouru à l'acte authentique que parce que son épouse menaçait de le « quitter » s'il refusait la vente du domaine à leur neveu. En dépit des conséquences pénibles que l'époux délaissé aurait subies, le cas échéant, par suite de la dissolution du ménage, la menace ainsi alléguée ne portait pas sur un danger grave et imminent aux termes de l' art. 30 al. 1 CO . Le moyen tiré de l' art. 29 CO est donc également inconsistant.</w:t>
      </w:r>
    </w:p>
    <w:p>
      <w:r>
        <w:rPr>
          <w:b/>
        </w:rPr>
        <w:t>E. 5.1</w:t>
      </w:r>
    </w:p>
    <w:p>
      <w:r>
        <w:t>Les défendeurs soutiennent que la promesse de vente est conditionnelle aux termes de l' art. 151 CO , et qu'elle ne les oblige pas parce que les conditions demeurent et demeureront inaccomplies. Ils insistent sur la grave mésentente qui s'est élevée entre eux et leur neveu, et ils considèrent que les démarches et accords auxquels la promesse est subordonnée sont devenus impossibles. Ils font aussi état de diverses incertitudes concernant l'exécution et les effets de la promesse.</w:t>
      </w:r>
    </w:p>
    <w:p>
      <w:r>
        <w:t>Dans le texte de l'acte authentique, les clauses concernant les autorisations en matière de droit foncier rural, la vente des immeubles de F.________ et les accords à trouver avec les autorités fiscales sont effectivement présentées sous l'aspect de conditions suspensives, introduites par le libellé « la validité du présent acte et de l'acte de vente définitif est conditionnée par ... ». Il s'agit de conditions potestatives dans la mesure où, comme les défendeurs le soulignent, leur accomplissement dépend de la diligence des parties et de leurs manifestations de volonté. Mais on lit aussi, dans l'acte, que « Monsieur Y.________ s'engage irrévocablement à acheter » l'ensemble des biens concernés, y compris les immeubles de F.________, et que ses deux cocontractants « s'engagent à leur tour et réciproquement » à lui vendre ces mêmes biens.</w:t>
      </w:r>
    </w:p>
    <w:p>
      <w:r>
        <w:rPr>
          <w:b/>
        </w:rPr>
        <w:t>E. 5.2</w:t>
      </w:r>
    </w:p>
    <w:p>
      <w:r>
        <w:t>Il peut advenir que telle clause d'un contrat soit ambiguë et que, ayant apparemment pour objet de subordonner les obligations des parties à une condition, elle puisse aussi être comprise comme introduisant une obligation supplémentaire; il est alors nécessaire d'interpréter la convention (Felix Ehrat, in Commentaire bâlois, n° 11 ad art. 151 - 157 CO ).</w:t>
      </w:r>
    </w:p>
    <w:p>
      <w:r>
        <w:t>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 ATF 117 II 273 consid. 4c p. 280/281; voir aussi ATF 133 III 527 consid. 3.3.3 p. 535).</w:t>
      </w:r>
    </w:p>
    <w:p>
      <w:r>
        <w:t>L'interprétation selon le principe de la confiance - y compris celle d'un contrat dont la validité dépend d'une forme particulière ( ATF 127 III 248 consid. 3c p. 254) - consiste en rechercher comment les parties, lorsque leur accord s'est formé, pouvaient comprendre de bonne foi les clauses adoptées par elles, en fonction du contexte dans lequel elles ont traité ( ATF 132 III 24 consid. 4 p. 27/28). Même s'il est apparemment clair, le sens d'un texte souscrit par les parties n'est pas forcément déterminant, de sorte que l'interprétation purement littérale est prohibée ( art. 18 al. 1 CO ).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 ATF 131 III 606 consid. 4.2 p. 611; 130 III 417 consid. 3.2; 129 III 118 consid. 2.5).</w:t>
      </w:r>
    </w:p>
    <w:p>
      <w:r>
        <w:rPr>
          <w:b/>
        </w:rPr>
        <w:t>E. 5.3</w:t>
      </w:r>
    </w:p>
    <w:p>
      <w:r>
        <w:t>En l'occurrence, les parties se sont promis « irrévocablement » la vente du domaine agricole. Rien, dans l'acte authentique, n'autorise à retenir que l'un ou l'autre des cocontractants doit pouvoir, même sans motif sérieux et objectif, se dédire de cette promesse. Par conséquent, les clauses concernant les autorisations en matière de droit foncier rural, la vente des immeubles de F.________ et les accords à trouver avec les autorités fiscales ne sont réellement des conditions suspensives, aux termes de l' art. 151 CO , que dans la mesure où elles portent sur l'obligation de conclure le ou les contrats finals, à l'issue des préparatifs encore nécessaires, et où leur accomplissement dépendra des autorités administratives et fiscales compétentes. Pour le surplus, contrairement à l'opinion des défendeurs, ces clauses ne suspendent pas les effets de la promesse de vente; celle-ci, depuis la clôture de l'acte, oblige toutes les parties à entreprendre les démarches prévues et à favoriser leur aboutissement. C'est exactement ce à quoi les défendeurs sont condamnés par l'arrêt attaqué du 13 novembre 2008. On ne saurait admettre aisément que les parties aient fait dresser un acte authentique à la seule fin de consigner de simples projets ou intentions, dépourvus d'incidence sur leur situation juridique.</w:t>
      </w:r>
    </w:p>
    <w:p>
      <w:r>
        <w:t>En tant que les démarches prévues nécessitent de nouvelles conventions entre les cocontractants, par exemple sur le prix de vente particulier aux immeubles de F.________, dans le cadre du prix global déjà convenu, il s'agit de points secondaires que les parties ont réservé conformément à l' art. 2 al. 1 CO . La somme de l'assurance au décès, à contracter par le demandeur pour garantir le versement de la rente viagère, est aussi l'un de ces points secondaires. Au besoin, ils seront réglés par le juge en application de l' art. 2 al. 2 CO . Les propriétaires du domaine insistent vainement sur ce fait qu'il n'existe actuellement, sur les points en suspens, aucune perspective d'accord entre les parties; on ne pourrait guère espérer une situation différente compte tenu qu'eux-mêmes, jusqu'à présent, se sont efforcés de se délier de la promesse plutôt que de concourir à son exécution.</w:t>
      </w:r>
    </w:p>
    <w:p>
      <w:r>
        <w:rPr>
          <w:b/>
        </w:rPr>
        <w:t>E. 5.4</w:t>
      </w:r>
    </w:p>
    <w:p>
      <w:r>
        <w:t>Les défendeurs font valoir que l'autre partie se trouvera peut-être hors d'état de reprendre la dette hypothécaire existante et de contracter l'assurance au décès. Dans l'une ou l'autre de ces éventualités, eux-mêmes pourront, sur la base de l' art. 82 CO , refuser les ventes promises; ensuite, si la demeure de leur cocontractant se prolonge, ils pourront résoudre la promesse de vente conformément à l' art. 107 CO . En revanche, l' art. 151 CO est hors de cause.</w:t>
      </w:r>
    </w:p>
    <w:p>
      <w:r>
        <w:t>Ces plaideurs disent aussi redouter les suites fiscales de la vente de leur domaine selon les modalités convenues, comportant le versement d'une rente viagère. Il est possible qu'à l'issue des pourparlers prévus avec les autorités concernées, ces modalités se révèlent gravement désavantageuses sur le plan fiscal. Il n'est cependant pas nécessaire d'examiner dès maintenant si, dans cette hypothèse particulière, au regard des règles de la bonne foi, les défendeurs pourraient faire valoir que l'une des conditions de la promesse ne s'est pas accomplie, et se dédire de l'affaire pour ce motif. En l'état, ils invoquent prématurément l' art. 151 CO , et ils doivent plutôt entreprendre loyalement, avec le demandeur et les autorités fiscales, la recherche d'une solution convenable.</w:t>
      </w:r>
    </w:p>
    <w:p>
      <w:r>
        <w:t>Les défendeurs ne sauraient, non plus, se dédire de la promesse au motif que ce contrat ne leur assure aucune garantie en prévision du cas où l'autre partie deviendrait insolvable et suspendrait le service de la rente.</w:t>
      </w:r>
    </w:p>
    <w:p>
      <w:r>
        <w:rPr>
          <w:b/>
        </w:rPr>
        <w:t>E. 6</w:t>
      </w:r>
    </w:p>
    <w:p>
      <w:r>
        <w:t>En raison de la mésentente qui s'est élevée entre les parties, la cohabitation dans le bâtiment n° 99 de S.________ est devenue prétendument impossible. Les défendeurs invoquent la théorie de l'imprévision, selon laquelle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(clausula rebus sic stantibus; ATF 127 III 300 consid. 5b p. 304/305; 135 III 1 consid. 2.4 p. 9/10). Selon cette même théorie, s'il s'agit d'un contrat complexe prévoyant plusieurs prestations différentes entre les parties, ce contrat ne peut pas être entièrement résolu au motif qu'une seule de ces prestations se trouve dévaluée par un fait imprévisible; le contrat doit plutôt être adapté, au besoin par le juge, en tenant compte de son économie et de son but, et de l'ensemble des circonstances ( ATF 107 II 144 consid. 3 p. 148; arrêt 4C.43/2000 du 21 mai 2001, SJ 2001 I p. 541, consid. 2e p. 548).</w:t>
      </w:r>
    </w:p>
    <w:p>
      <w:r>
        <w:t>En l'espèce, il n'est pas établi que le conflit des parties ait pour conséquence que le logement dans le bâtiment n° 99 soit devenu réellement insupportable pour les défendeurs, et que le droit d'habiter prévu dans la promesse de vente ait ainsi perdu toute valeur pour eux. Une situation si dégradée justifierait, le cas échéant, que les parties s'accordent enfin sur la solution du « chalet », ou, à défaut, que la rente viagère soit augmentée d'un montant correspondant à la valeur du droit d'habiter. Conformément à la décision de la Cour civile, il incombe d'abord aux parties de négocier et de régler ce point dans le cadre de l'exécution de la promesse de vente; pour le surplus, la validité de ce contrat subsiste nonobstant la dissension de ceux qui l'ont conclu.</w:t>
      </w:r>
    </w:p>
    <w:p>
      <w:r>
        <w:rPr>
          <w:b/>
        </w:rPr>
        <w:t>E. 7</w:t>
      </w:r>
    </w:p>
    <w:p>
      <w:r>
        <w:t>Invoquant l' art. 9 Cst. , les défendeurs reprochent à la Cour civile d'avoir constaté arbitrairement divers faits, qui toutefois, au regard des considérants qui précèdent, n'ont aucune incidence sur l'application du droit fédéral. Les arrêts attaqués ne sauraient donc, dans leur résultat, se révéler contraires à cette disposition constitutionnelle (cf. ATF 134 I 140 consid. 5.4 p. 148; 133 I 149 consid. 3.1 p. 153).</w:t>
      </w:r>
    </w:p>
    <w:p>
      <w:r>
        <w:t>Vainement aussi, les défendeurs reprochent à la Cour civile d'avoir appliqué arbitrairement le droit cantonal de procédure et d'avoir commis un déni de justice formel en déclarant irrecevable, faute de conclusions correspondantes, le moyen tiré de la théorie de l'imprévision et de l'impossibilité, pour les parties, de cohabiter dans le bâtiment n° 99. En renvoyant les parties à négocier le remplacement du droit d'habiter par une autre prestation, la Cour s'est en effet prononcée de manière suffisante, quoique succincte, sur cette question.</w:t>
      </w:r>
    </w:p>
    <w:p>
      <w:r>
        <w:rPr>
          <w:b/>
        </w:rPr>
        <w:t>E. 8</w:t>
      </w:r>
    </w:p>
    <w:p>
      <w:r>
        <w:t>Le recours se révèle privé de fondement, ce qui conduit à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