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4A_593/2023 vom 20. August 2024</w:t>
      </w:r>
    </w:p>
    <w:p>
      <w:r>
        <w:t>Bundesgericht, 2024-08-20, FR</w:t>
      </w:r>
    </w:p>
    <w:p>
      <w:r>
        <w:rPr>
          <w:b/>
        </w:rPr>
        <w:t xml:space="preserve">Quelle: </w:t>
      </w:r>
      <w:r>
        <w:t>https://mcp.opencaselaw.ch/entscheid/bger_4A_593_2023</w:t>
      </w:r>
    </w:p>
    <w:p>
      <w:r>
        <w:t>FR: TF 4A_593/2023 du 20 août 2024</w:t>
      </w:r>
    </w:p>
    <w:p>
      <w:r>
        <w:t>IT: TF 4A_593/2023 del 20 agosto 2024</w:t>
      </w:r>
    </w:p>
    <w:p>
      <w:pPr>
        <w:pStyle w:val="Heading2"/>
      </w:pPr>
      <w:r>
        <w:t>Erwägungen</w:t>
      </w:r>
    </w:p>
    <w:p>
      <w:r>
        <w:rPr>
          <w:b/>
        </w:rPr>
        <w:t>E. 1</w:t>
      </w:r>
    </w:p>
    <w:p>
      <w:r>
        <w:t>Interjeté dans le délai fixé par la loi ( art. 100 al. 1 LTF ) par le demandeur, qui a partiellement succombé dans ses conclusions ( art. 76 al. 1 LTF ), et dirigé contre une décision finale ( art. 90 LTF ) rendue sur appel par le tribunal supérieur du canton de Genève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Le recourant reproche à la cour cantonale d'avoir constaté les faits de manière manifestement inexacte en retenant que l'employeuse l'avait doté d'un montant de l'ordre de 200'000'000 fr. lorsqu'il avait été engagé. Dès lors que le recours doit en tout état de cause être déclaré irrecevable (cf. infra consid. 3), la correction du prétendu vice n'est pas susceptible d'influer sur le sort de la cause. Le Tribunal fédéral ne s'écartera donc pas de l'état de fait constaté par la cour cantonale (cf. supra consid. 2.1).</w:t>
      </w:r>
    </w:p>
    <w:p>
      <w:r>
        <w:rPr>
          <w:b/>
        </w:rPr>
        <w:t>E. 3</w:t>
      </w:r>
    </w:p>
    <w:p>
      <w:r>
        <w:t>Seule demeure litigieuse l'interprétation de l'art. 5 al. 2 du contrat de travail et, plus particulièrement, le terme " deposited " qui y est prévu. Le recourant reproche à la cour cantonale d'avoir mal interprété cette clause contractuelle et d'avoir ainsi violé les art. 1, 8 et 322 al. 1 CO .</w:t>
      </w:r>
    </w:p>
    <w:p>
      <w:r>
        <w:rPr>
          <w:b/>
        </w:rPr>
        <w:t>E. 3.1.1</w:t>
      </w:r>
    </w:p>
    <w:p>
      <w:r>
        <w:t>En droit suisse des contrats,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 ATF 144 III 93 consid. 5.2.1; 123 III 35 consid. 2b; arrêt 4A_269/2022 du 5 octobre 2022 consid. 3.1.2 et les arrêts cités).</w:t>
      </w:r>
    </w:p>
    <w:p>
      <w:r>
        <w:rPr>
          <w:b/>
        </w:rPr>
        <w:t>E. 3.1.2</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3.2</w:t>
      </w:r>
    </w:p>
    <w:p>
      <w:r>
        <w:t>La cour cantonale a constaté que les parties s'opposaient sur la signification à donner au terme " deposited " utilisé à l'art. 5 al. 2 du contrat de travail; tandis que le travailleur considérait qu'il s'agissait de l'ensemble des avoirs figurant (" déposés " dans le sens passif du terme) en compte durant le semestre, l'employeuse soutenait qu'il s'agissait des seuls avoirs dont le compte avait été augmenté (" déposés " dans le sens actif du terme) durant le semestre. La cour cantonale s'est fondée sur le texte et le but du contrat, retenant que le terme litigieux ne pouvait que viser des avoirs apportés à l'employeuse par l'activité du travailleur dans le cadre des objectifs que celle-ci lui avait fixés, ainsi que sur le comportement des parties après la conclusion du contrat de travail, soit l'absence de réaction du travailleur aux dates fixées pour l'ajustement de son salaire de base. Elle en a conclu que l'interprétation du contrat effectuée par le Tribunal des prud'hommes devait être confirmée au détriment de celle proposée par le travailleur, à savoir que " les parties avaient la volonté de fonder l'augmentation du salaire de base d[u travailleur] uniquement sur l'apport de nouveaux actifs par ce dernier ".</w:t>
      </w:r>
    </w:p>
    <w:p>
      <w:r>
        <w:rPr>
          <w:b/>
        </w:rPr>
        <w:t>E. 3.3</w:t>
      </w:r>
    </w:p>
    <w:p>
      <w:r>
        <w:t>Le recourant soutient qu'après avoir constaté le désaccord entre les parties sur le sens à donner à la clause contractuelle litigieuse, la cour cantonale a interprété le contrat " selon le principe de la confiance ", en " procéd[ant] à une analyse des clauses contractuelles litigieuses du contrat de travail du recourant selon le sens qu'elles devaient - selon elle - revêtir au regard de l'ensemble des circonstances ". Il indique que c'est précisément cette analyse qu'il remet en cause, dès lors qu'il reproche à la cour cantonale d'avoir mal appliqué le principe de la confiance, grief que le Tribunal fédéral pourrait examiner librement.</w:t>
      </w:r>
    </w:p>
    <w:p>
      <w:r>
        <w:rPr>
          <w:b/>
        </w:rPr>
        <w:t>E. 3.4</w:t>
      </w:r>
    </w:p>
    <w:p>
      <w:r>
        <w:t>Contrairement à ce que soutient le recourant, la cour cantonale a constaté la réelle et commune intention des parties, en se fondant sur le contrat de travail litigieux et sur le comportement ultérieur des parties. La prise en compte dudit comportement n'aurait du reste pas été permise dans le contexte d'une interprétation selon le principe de la confiance (arrêts 4A_587/2023 du 20 août 2024 consid. 3.4; 4A_227/2020 du 28 janvier 2021 consid. 3.3.3). Dès lors que la cour cantonale a constaté la réelle et commune intention des parties, que cette constatation de fait lie le Tribunal fédéral à moins qu'elle ne soit arbitraire et que le recourant n'invoque ni n'établit que ladite constatation serait arbitraire, la critique du recourant ne s'en prend pas à la motivation de l'arrêt entrepris et son grief est donc irrecevable.</w:t>
      </w:r>
    </w:p>
    <w:p>
      <w:r>
        <w:rPr>
          <w:b/>
        </w:rPr>
        <w:t>E. 4</w:t>
      </w:r>
    </w:p>
    <w:p>
      <w:r>
        <w:t>Au vu de ce qui précède, le recours doit être déclaré irrecevable.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