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593/2016 vom 16. Januar 2017</w:t>
      </w:r>
    </w:p>
    <w:p>
      <w:r>
        <w:t>Bundesgericht, 2017-01-16, IT</w:t>
      </w:r>
    </w:p>
    <w:p>
      <w:r>
        <w:rPr>
          <w:b/>
        </w:rPr>
        <w:t xml:space="preserve">Quelle: </w:t>
      </w:r>
      <w:r>
        <w:t>https://mcp.opencaselaw.ch/entscheid/bger_4A_593_2016</w:t>
      </w:r>
    </w:p>
    <w:p>
      <w:r>
        <w:t>FR: TF 4A 593/2016 du 16 janvier 2017</w:t>
      </w:r>
    </w:p>
    <w:p>
      <w:r>
        <w:t>IT: TF 4A 593/2016 del 16 gennaio 2017</w:t>
      </w:r>
    </w:p>
    <w:p>
      <w:pPr>
        <w:pStyle w:val="Heading2"/>
      </w:pPr>
      <w:r>
        <w:t>Regeste</w:t>
      </w:r>
    </w:p>
    <w:p>
      <w:r>
        <w:t>ricusa del Pretore | Diritto contrattuale</w:t>
      </w:r>
    </w:p>
    <w:p>
      <w:pPr>
        <w:pStyle w:val="Heading2"/>
      </w:pPr>
      <w:r>
        <w:t>Erwägungen</w:t>
      </w:r>
    </w:p>
    <w:p>
      <w:r>
        <w:rPr>
          <w:b/>
        </w:rPr>
        <w:t>E. 1.1</w:t>
      </w:r>
    </w:p>
    <w:p>
      <w:r>
        <w:t>Giusta l' art. 92 cpv. 1 LTF il ricorso è ammissibile contro decisioni incidentali notificate separatamente e concernenti domande di ricusazione. La via di ricorso contro tali decisioni segue quella della causa di merito ( DTF 138 III 555 consid. 1). Quest'ultima concerne nella fattispecie una causa civile di natura pecuniaria con un valore di lite superiore alla soglia di fr. 30'000.-- ( art. 74 cpv. 1 lett. b LTF ) prevista per l'inoltro di un ricorso in materia civile. Il rimedio di diritto in esame è quindi in linea di principio ammissibile.</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3.1</w:t>
      </w:r>
    </w:p>
    <w:p>
      <w:r>
        <w:t>La ricorrente si lamenta in sostanza di una violazione degli art. 30 cpv. 1 Cost. , 6 n. 1 CEDU e 47 CPC, affermando che il Pretore ricusato - come del resto tutta la magistratura ticinese - non sarebbe indipendente, perché sarebbe " controllato dal potere politico e dalle lobby-logge retrostanti " che lo hanno eletto.</w:t>
      </w:r>
    </w:p>
    <w:p>
      <w:r>
        <w:rPr>
          <w:b/>
        </w:rPr>
        <w:t>E. 3.2</w:t>
      </w:r>
    </w:p>
    <w:p>
      <w:r>
        <w:t>Sia l' art. 30 cpv. 1 Cost. che l' art. 6 n. 1 CEDU assicurano la facoltà di sottoporre la propria causa a giudici non prevenuti, in grado di garantire un apprezzamento libero e imparziale ( DTF 141 IV 178 consid. 3.2.1). Per verificare che ciò sia il caso occorre, dal profilo oggettivo,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 DTF 140 I 326 consid. 5.1). L' art. 47 CPC descrive i motivi di ricusa a livello di legge ( DTF 140 III 221 consid. 4.2). Nel Cantone Ticino i magistrati sono eletti dal Parlamento cantonale, previo concorso pubblico, per un periodo di 10 anni ( art. 36 e 81 Cost./TI ; art. 2 e segg. della legge ticinese sull'organizzazione giudiziaria del 10 maggio 2006). Il sistema di elezione e la durata del mandato si fondano sul postulato che, una volta eletti, i magistrati sono presunti capaci di avere il necessario distacco dai loro partiti politici e si pronunciano oggettivamente e in maniera imparziale sui litigi che oppongono le parti. Solo in presenza di circostanze eccezionali e non di semplici congetture si potrebbe pensare che un giudice potrebbe subire un'influenza dalla formazione politica a cui appartiene al punto da non più apparire imparziale nella trattazione di una determinata causa (sentenze 1B_326/2016 del 29 settembre 2016 consid. 5.3 e 4A_519/2014 dell'8 gennaio 2015 consid. 5.1). Limitandosi a criticare il predetto sistema di elezione dei giudici e lanciando apodittiche accuse di uno scambio di favori, la ricorrente non dimostra l'esistenza di tali circostanze eccezionali. Nemmeno soccorre la ricorrente l'affermazione secondo cui la prevenzione del giudice ricusato emergerebbe pure dal fatto che egli avrebbe emanato "una lunghissima serie di decisioni" sempre favorevoli ad "avversari potenti", già per il motivo che tale argomentazione è inammissibilmente basata su una fattispecie non risultante dalla sentenza impugnata (sopra, consid. 2).</w:t>
      </w:r>
    </w:p>
    <w:p>
      <w:r>
        <w:rPr>
          <w:b/>
        </w:rPr>
        <w:t>E. 4</w:t>
      </w:r>
    </w:p>
    <w:p>
      <w:r>
        <w:t>Da quanto precede discende che il ricorso si rivela manifestamente infondato e va respinto nella misura in cui risulta ammissibile. Con l'evasione del gravame la domanda di conferimento dell'effetto sospensivo al ricorso è divenuta caduca. La domanda di assistenza giudiziaria va respinta, indipendente dalla pretesa indigenza della ricorrente, perché il ricorso era fin dall'inizio privo di possibilità di esito favorevole ( art. 64 cpv. 1 LTF ).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