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4A_592/2025 vom 23. März 2026</w:t>
      </w:r>
    </w:p>
    <w:p>
      <w:r>
        <w:t>Bundesgericht, 2026-03-23, DE</w:t>
      </w:r>
    </w:p>
    <w:p>
      <w:r>
        <w:rPr>
          <w:b/>
        </w:rPr>
        <w:t xml:space="preserve">Quelle: </w:t>
      </w:r>
      <w:r>
        <w:t>https://mcp.opencaselaw.ch/entscheid/bger_4A_592_2025</w:t>
      </w:r>
    </w:p>
    <w:p>
      <w:r>
        <w:t>FR: TF 4A_592/2025 du 23 mars 2026</w:t>
      </w:r>
    </w:p>
    <w:p>
      <w:r>
        <w:t>IT: TF 4A_592/2025 del 23 marzo 2026</w:t>
      </w:r>
    </w:p>
    <w:p>
      <w:pPr>
        <w:pStyle w:val="Heading2"/>
      </w:pPr>
      <w:r>
        <w:t>Erwägungen</w:t>
      </w:r>
    </w:p>
    <w:p>
      <w:r>
        <w:rPr>
          <w:b/>
        </w:rPr>
        <w:t>E. 1</w:t>
      </w:r>
    </w:p>
    <w:p>
      <w:r>
        <w:t>Das Bundesgericht prüft von Amtes wegen und mit freier Kognition, ob ein Rechtsmittel zulässig ist ( Art. 29 Abs. 1 BGG ; BGE 150 III 248 E. 1; 149 III 277 E. 3.1 ; 145 I 121 E. 1).</w:t>
      </w:r>
    </w:p>
    <w:p>
      <w:r>
        <w:rPr>
          <w:b/>
        </w:rPr>
        <w:t>E. 1.1</w:t>
      </w:r>
    </w:p>
    <w:p>
      <w:r>
        <w:t>Entscheide über vorsorgliche Massnahmen gelten nur als Endentscheide,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151 III 227 E. 1.1; 144 III 475 E. 1.1.1; 138 III 76 E. 1.2, 333 E. 1.2; 137 III 324 E. 1.1). Dies gilt nicht nur, wenn eine vorsorgliche Massnahme erlassen, sondern auch wenn eine solche verweigert wird ( BGE 151 III 227 E. 1.1).</w:t>
      </w:r>
    </w:p>
    <w:p>
      <w:r>
        <w:t>Die angefochtene Verfügung schliesst das Verfahren nicht im Sinne von Art. 90 BGG ab. Die Vorinstanz hiess das Gesuch der Beschwerdegegnerin im Wesentlichen gut und sprach gegenüber der Beschwerdeführerin ein Verbot aus. Gleichzeitig setzte sie der Beschwerdegegnerin Frist zur Einreichung einer Klage im ordentlichen Verfahren an, verbunden mit dem Hinweis, dass im Unterlassungsfall die angeordneten vorsorglichen Massnahmen dahinfallen. Es handelt sich somit um einen Zwischenentscheid im Sinne von Art. 93 BGG .</w:t>
      </w:r>
    </w:p>
    <w:p>
      <w:r>
        <w:rPr>
          <w:b/>
        </w:rPr>
        <w:t>E. 1.2</w:t>
      </w:r>
    </w:p>
    <w:p>
      <w:r>
        <w:t>Gegen solche Zwischenentscheide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151 III 227 E. 1.2; 150 III 248 E. 1.2; 149 II 476 E. 1.2.1; je mit Hinweisen). Die selbständige Anfechtbarkeit von Zwischenentscheiden bildet aus prozessökonomischen Gründen eine Ausnahme vom Grundsatz, dass sich das Bundesgericht mit jeder Angelegenheit nur einmal befassen soll. Die Ausnahme ist restriktiv zu handhaben ( BGE 151 III 227 E. 1.3; 150 III 248 E. 1.2, 346 E. 1.3.3).</w:t>
      </w:r>
    </w:p>
    <w:p>
      <w:r>
        <w:t>Während die frühere Rechtsprechung bei Zwischenentscheiden, mit denen vorsorgliche Massnahmen erlassen oder verweigert wurden, einen nicht wieder gutzumachenden Nachteil regelmässig bejahte ( BGE 134 I 83 E. 3.1 mit Hinweisen auf die frühere Rechtsprechung), wird nach neuerer, gefestigter Rechtsprechung verlangt, dass die beschwerdeführende Partei auch bei Anfechtung vorsorglicher Massnahmen in der Beschwerdebegründung aufzeigt, inwiefern ihr im konkreten Fall ein nicht wieder gutzumachender Nachteil rechtlicher Natur droht ( BGE 151 III 227 E. 1.4; 144 III 475 E. 1.2; 137 III 324 E. 1.1).</w:t>
      </w:r>
    </w:p>
    <w:p>
      <w:r>
        <w:rPr>
          <w:b/>
        </w:rPr>
        <w:t>E. 1.3</w:t>
      </w:r>
    </w:p>
    <w:p>
      <w:r>
        <w:t>Die Beschwerdeführerin bringt vor, es drohe ihr infolge der angefochtenen Verfügung 1) ein Kunden- und Mitarbeiterverlust, ein Verlust von Marktanteilen und ein entgangener Gewinn, 2) ein Reputationsschaden sowie 3) ein Schaden aufgrund zusätzlicher Kosten.</w:t>
      </w:r>
    </w:p>
    <w:p>
      <w:r>
        <w:t>Zum angeblich entgangenen Gewinn infolge Abwanderung von Kunden und Temporärmitarbeitenden beruft sich die Beschwerdeführerin vor Bundesgericht auf die Behauptung der Beschwerdegegnerin im vorinstanzlichen Verfahren, wonach der Beschwerdeführerin bei Gutheissung des Massnahmebegehrens ein Gewinn von Fr. 87'783.75 pro Jahr entgehen werde. Sie behauptet lediglich, es sei dahingestellt, ob die genannten Zahlen richtig seien; entscheidend sei, dass Temporärmitarbeitende und Einsatzbetriebe die Beschwerdeführerin verlassen und sie dadurch Marktanteile verlieren, was zu einem Gewinneinbruch führen werde. Sie behauptet zwar in der Folge, der von ihr befürchtete wirtschaftliche Schaden werde sich auch im Nachhinein nicht beziffern lassen; anhand ihrer Ausführungen leuchtet jedoch nicht ein, inwiefern dies der Fall sein soll.</w:t>
      </w:r>
    </w:p>
    <w:p>
      <w:r>
        <w:t>Die Beschwerdeführerin bringt weiter vor, ein nicht wieder gutzumachender Nachteil sei im Reputationsschaden zu erblicken, den sie erleide, wenn die angefochtene Verfügung bis zu einem Endentscheid in der Sache Bestand habe und sie infolgedessen ihr System ab dem 1. Januar 2026 anpassen und ihre Temporärmitarbeitenden und Einsatzbetriebe über die Gründe der erfolgten Systemänderung informieren müsste. Nachdem das Gesuch der Beschwerdeführerin um Gewährung der aufschiebenden Wirkung im bundesgerichtlichen Verfahren mit Verfügung vom 27. November 2025 abgewiesen worden war und das von der Vorinstanz angeordnete Verbot demnach seit 1. Januar 2026 einzuhalten ist, musste die Beschwerdeführerin ihr System spätestens seit diesem Zeitpunkt angepasst haben. Damit wären die ins Feld geführten Folgen bereits eingetreten, weshalb nicht davon ausgegangen werden kann, es drohe der Beschwerdeführerin ein nicht wieder gutzumachender Nachteil. Abgesehen davon leuchtet nicht ein, weshalb sie aufgrund des Umstands, dass sie infolge der angeordneten Massnahme für die Temporärmitarbeitenden vorteilhaftere Bedingungen anzubieten hat, einen irreparablen Reputationsschaden erleiden soll. Im Übrigen gehen ihre Vorbringen über angeblich abfällige Äusserungen der Beschwerdegegnerin bzw. ihrer Vertreter über den Streitgegenstand des vorliegenden Verfahrens hinaus (vgl. bereits die Präsidialverfügung 4A_592/2025 vom 16. Dezember 2025 E. 3). Ihre entsprechenden Ausführungen sind unbehelflich.</w:t>
      </w:r>
    </w:p>
    <w:p>
      <w:r>
        <w:t>Die Beschwerdeführerin bringt schliesslich vor, die angefochtene Verfügung führe zu zusätzlichen Kosten bzw. Kostensteigerungen. So habe sie ihren Temporärmitarbeitenden ab dem 1. Januar 2026 eine Entschädigung von 10 % des Bruttostundenlohns für die Rufbereitschaft zu bezahlen. Werde den Temporärmitarbeitenden zur Vermeidung dieser Entschädigung für die Rufbereitschaft nach der Buchung nochmals ein Ablehnungsrecht eingeräumt, sei ihre Onlineplattform entsprechend umzuprogrammieren. Dies ergebe Personalkosten (der IT-Mitarbeitenden) von Fr. 32'359.80. Die Anpassung der bisherigen Unterschriftenlösung habe ausserdem zur Folge, dass ihre Onlineplattform auch zu diesem Zweck angepasst werden müsse, um eine qualifizierte elektronische Unterschrift zu gewährleisten. Dies führe zu weiteren Personalkosten von Fr. 51'136.50. Ein Paket bei einem externen Anbieter für die qualifizierte elektronische Signatur koste zudem weitere Fr. 100'000.--.</w:t>
      </w:r>
    </w:p>
    <w:p>
      <w:r>
        <w:t>Auch mit diesen Vorbringen vermag die Beschwerdeführerin keinen nicht wieder gutzumachenden Nachteil im Sinne von Art. 93 Abs. 1 lit. a BGG aufzuzeigen. Sie behauptet verschiedene finanzielle Einbussen, die sie im Übrigen genau beziffert. Ein drohender finanzieller Schaden ist aber in der Regel nicht irreparabel und damit kein rechtlicher Nachteil ( BGE 138 III 333 E. 1.3.1; 137 III 637 E. 1.2; Urteile 4A_312/2025 vom 13. Oktober 2025 E. 1.2.4; 4A_567/2023 vom 26. März 2024 E. 1.6; 4A_403/2020 vom 1. Dezember 2020 E. 2.2 mit Hinweisen). Hinreichende Gründe, weshalb dies vorliegend nicht zutreffen soll, sind nicht ersichtlich.</w:t>
      </w:r>
    </w:p>
    <w:p>
      <w:r>
        <w:rPr>
          <w:b/>
        </w:rPr>
        <w:t>E. 1.4</w:t>
      </w:r>
    </w:p>
    <w:p>
      <w:r>
        <w:t>Die Beschwerdeführerin vermag mit ihren Ausführungen die Voraussetzungen einer (ausnahmsweisen) Anfechtbarkeit eines selbständig eröffneten Zwischenentscheids nach Art. 93 Abs. 1 lit. a BGG nicht darzutun.</w:t>
      </w:r>
    </w:p>
    <w:p>
      <w:r>
        <w:t>Die Beschwerde erweist sich insgesamt als unzulässig.</w:t>
      </w:r>
    </w:p>
    <w:p>
      <w:r>
        <w:rPr>
          <w:b/>
        </w:rPr>
        <w:t>E. 2</w:t>
      </w:r>
    </w:p>
    <w:p>
      <w:r>
        <w:t>Auf die Beschwerde ist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