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4A_592/2014 vom 25. Februar 2015</w:t>
      </w:r>
    </w:p>
    <w:p>
      <w:r>
        <w:t>Bundesgericht, 2015-02-25, FR</w:t>
      </w:r>
    </w:p>
    <w:p>
      <w:r>
        <w:rPr>
          <w:b/>
        </w:rPr>
        <w:t xml:space="preserve">Quelle: </w:t>
      </w:r>
      <w:r>
        <w:t>https://mcp.opencaselaw.ch/entscheid/bger_4A_592_2014</w:t>
      </w:r>
    </w:p>
    <w:p>
      <w:r>
        <w:t>FR: TF 4A_592/2014 du 25 février 2015</w:t>
      </w:r>
    </w:p>
    <w:p>
      <w:r>
        <w:t>IT: TF 4A_592/2014 del 25 febbraio 2015</w:t>
      </w:r>
    </w:p>
    <w:p>
      <w:pPr>
        <w:pStyle w:val="Heading2"/>
      </w:pPr>
      <w:r>
        <w:t>Erwägungen</w:t>
      </w:r>
    </w:p>
    <w:p>
      <w:r>
        <w:rPr>
          <w:b/>
        </w:rPr>
        <w:t>E. 1</w:t>
      </w:r>
    </w:p>
    <w:p>
      <w:r>
        <w:t>L'arrêt attaqué est une décision incidente sur la compétence des tribunaux fribourgeois, susceptible du recours séparé prévu par l' art. 92 al. 1 LTF . Les conditions de recevabilité du recours en matière civile sont par ailleurs satisfaites, notamment à raison de la valeur litigieuse.</w:t>
      </w:r>
    </w:p>
    <w:p>
      <w:r>
        <w:rPr>
          <w:b/>
        </w:rPr>
        <w:t>E. 2</w:t>
      </w:r>
    </w:p>
    <w:p>
      <w:r>
        <w:t>La défenderesse A.________ SA persiste à se prévaloir de la clause d'élection de for insérée dans son devis du 1er août 2007, dont les demandeurs contestent qu'elle leur soit opposable.</w:t>
      </w:r>
    </w:p>
    <w:p>
      <w:r>
        <w:rPr>
          <w:b/>
        </w:rPr>
        <w:t>E. 2.1</w:t>
      </w:r>
    </w:p>
    <w:p>
      <w:r>
        <w:t>Dans les contestations qui ne revêtent pas de caractère international, l'élection de for est actuellement régie par l' art. 17 CPC . En tant qu'une clause d'élection de for est valable, l'action ne peut être introduite, sauf convention contraire, que devant le for choisi ( art. 17 al. 1 CPC ). L' art. 406 CPC prévoit que la validité d'une clause d'élection de for est déterminée selon le droit en vigueur au moment où elle a été adoptée; en l'occurrence, cette règle renvoie à l'art. 9 de la loi fédérale sur les fors, du 24 mars 2000 (LFors; RO 2000 2355), qui est demeuré en vigueur du 1er janvier 2001 au 31 décembre 2010.</w:t>
      </w:r>
    </w:p>
    <w:p>
      <w:r>
        <w:t>L' art. 9 al. 2 let. a et b LFors prévoit que la convention d'élection de for doit être passée par écrit. Les actes transmis par un moyen de communication permettant d'établir la preuve par un texte, notamment le télex, la télécopie ou la messagerie électronique (let. a), de même que la convention orale que les parties ont confirmée par écrit (let. b), sont assimilés à une convention écrite.</w:t>
      </w:r>
    </w:p>
    <w:p>
      <w:r>
        <w:t>Ces exigences de forme correspondent à celles de l'art. 5 al. 1 de la loi fédérale sur le droit international privé (LDIP) relatives à la compétence internationale des tribunaux suisses (arrêt 4C.142/2006 du 25 septembre 2006, c. 2), de l'art. 17 al. 1 de la Convention de Lugano concernant la compétence judiciaire et l'exécution des décisions en matière civile et commerciale, conclue en 1988 (aCL), devenu l'art. 23 de la Convention de Lugano (CL) de 2007 sur les mêmes matières, ou encore de l' art. 17 CPC qui correspond à l' art. 9 al. 1 et 2 LFors , les modifications étant purement rédactionnelles (Message du Conseil fédéral relatif au code de procédure civile suisse du 28 juin 2006, FF 2006 p. 6841 ss, 6879). La jurisprudence relative en général aux exigences de forme des clauses d'élection de for est applicable indistinctement à l'une ou l'autre de ces dispositions.</w:t>
      </w:r>
    </w:p>
    <w:p>
      <w:r>
        <w:t>Lesdites exigences doivent être appliquées avec rigueur car l'élection de for déroge au principe général du for du défendeur ( art. 3 LFors , art. 10 CPC , art. 2 LDIP , art. 2 al. 1 CL ).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selon le cas aux art. 9 al. 2 LFors , 17 al. 2 CPC, 5 al. 1 LDIP, 17 al. 1 aCL ou 23 CL (cf. ATF 131 III 398 consid. 6 p. 400; arrêt 4A_272/2007 du 21 novembre 2007, consid. 5.1, SJ 2008 I 205 p. 208).</w:t>
      </w:r>
    </w:p>
    <w:p>
      <w:r>
        <w:t>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 ATF 131 III 398 consid. 7.1.1 p. 401; voir aussi les arrêts 4A_272/2007, ibid.; 4A_323/2013 du 29 novembre 2013, consid. 4.3.3).</w:t>
      </w:r>
    </w:p>
    <w:p>
      <w:r>
        <w:t>En cas d'accord verbal confirmé par écrit (art. 17 ch. 1 let. a aCL, seconde hypothèse; art. 9 al. 2 let. b LFors ), la partie qui se prévaut de l'élection de for doit prouver que celle-ci a été l'objet d'un accord verbal exprès, que la confirmation écrite, envoyée par l'une ou l'autre des parties, est parvenue à l'autre partie, et que cette dernière n'a pas élevé d'objection (arrêt 4A_272/2007, ibid.).</w:t>
      </w:r>
    </w:p>
    <w:p>
      <w:r>
        <w:rPr>
          <w:b/>
        </w:rPr>
        <w:t>E. 2.2</w:t>
      </w:r>
    </w:p>
    <w:p>
      <w:r>
        <w:t>En l'espèce, une clause d'élection de for est présente en deux emplacements dans le devis que la défenderesse A.________ SA a adressé aux demandeurs le 1er août 2007. Il est établi que ceux-ci ont accepté oralement l'offre relative aux travaux décrits dans ce devis et qu'il n'en ont négocié que le prix ; il est aussi constant que les travaux commandés ont été exécutés et que le prix de 40'000 fr. oralement convenu a été payé. Ces faits ressortent du jugement du 30 janvier 2013 et nul ne les a mis en doute en appel; en tant que les constatations de la décision présentement attaquée se révèlent lacunaires, selon l'argumentation des demandeurs, elles peuvent être complétées sur cette base conformément à l' art. 105 al. 2 LTF .</w:t>
      </w:r>
    </w:p>
    <w:p>
      <w:r>
        <w:t>Un échange de manifestations de volonté réciproques et concordantes est ainsi intervenu sur les éléments essentiels du contrat d'entreprise; en revanche, l'élection de for n'a été validée par aucun accord exprès et les demandeurs l'ont moins encore acceptée par une déclaration écrite. Un hypothétique accord verbal, exprès, n'a pas non plus été confirmé par écrit. Dans ces conditions, le for du siège social de la défenderesse n'a pas été choisi par les parties et d'une manière conforme aux exigences de l' art. 9 al. 2 LFors . La défenderesse affirme inutilement que ses partenaires contractuels ont accepté l'élection de for « par actes concluants », du seul fait qu'ils ont fait exécuter les travaux énumérés dans le devis. Une acceptation « par actes concluants » eût supposé que les demandeurs ouvrissent action au for indiqué dans ce document, ce qu'ils n'ont précisément pas fait. La défenderesse se plaint tout aussi vainement d'abus de droit et de formalisme excessif. En particulier, il n'apparaît pas que les conditions de forme soient invoquées ici dans un but étranger à leur finalité.</w:t>
      </w:r>
    </w:p>
    <w:p>
      <w:r>
        <w:t>Pour le surplus, indépendamment de la clause d'élection de for présente dans le devis, la compétence du tribunal saisi n'est pas contestée.</w:t>
      </w:r>
    </w:p>
    <w:p>
      <w:r>
        <w:rPr>
          <w:b/>
        </w:rPr>
        <w:t>E. 3</w:t>
      </w:r>
    </w:p>
    <w:p>
      <w:r>
        <w:t>La défenderesse A.________ SA est condamnée aux dépens d'appel. La Cour d'appel en a arrêté le montant sur la base d'une liste de frais déposée par l'avocat des demandeurs. La défenderesse fait valoir que cette liste ne lui a pas été transmise et qu'elle a été privée de toute possibilité de présenter ses observations. Elle se plaint de violation du droit d'être entendu garanti par l' art. 29 al. 2 Cst.</w:t>
      </w:r>
    </w:p>
    <w:p>
      <w:r>
        <w:t>En procédure civile, le droit d'être entendu est aussi garanti par l' art. 53 al. 1 CPC ; il confère à toute partie, parmi d'autres prérogatives, le droit de participer à l'administration des preuves, de se déterminer à leur propos ( ATF 136 I 265 consid. 3.2 p. 272; 133 I 270 consid. 3.1 p. 277; 129 II 497 consid. 2.2 p. 504) et de prendre position sur toutes les écritures des adverses parties ( ATF 138 I 484 consid. 2 p. 485; 138 I 154 consid. 2.3.3 p. 157; voir aussi ATF 139 I 189 consid. 3.2 p. 191/192).</w:t>
      </w:r>
    </w:p>
    <w:p>
      <w:r>
        <w:t>La liste de frais a influencé le calcul du montant mis à la charge de la défenderesse à titre de dépens; elle aurait donc dû lui être communiquée pour prise de position. Cette démarche ayant été omise, la défenderesse se plaint avec raison d'une violation de l' art. 29 al. 2 Cst.</w:t>
      </w:r>
    </w:p>
    <w:p>
      <w:r>
        <w:t>La violation du droit d'être entendu ne peut pas être réparée par le Tribunal fédéral, de sorte que, contrairement à l'opinion des demandeurs, le grief concernant le montant des dépens est recevable alors même que la défenderesse n'a pas pris de conclusions chiffrées sur point. L'application de l' art. 68 al. 5 LTF n'entre en considération que lorsque la décision attaquée est modifiée sur des points autres que les dépens. Il n'incombait pas non plus à la partie condamnée de réclamer la transmission de la liste et de solliciter un délai pour prendre position; notamment au regard de l' art. 29 al. 2 Cst. , il appartient au contraire à l'autorité saisie de communiquer d'office aux parties toute pièce dont elle entend se prévaloir dans sa décision.</w:t>
      </w:r>
    </w:p>
    <w:p>
      <w:r>
        <w:t>Les demandeurs soutiennent aussi à tort que la Cour d'appel n'était pas tenue de transmettre la liste parce qu'elle n'était pas tenue de motiver sa décision fixant le montant des dépens. Il est vrai que la motivation du montant arrêté au titre des dépens n'est en principe pas nécessaire lorsque l'autorité s'en tient aux limites du tarif applicable et que les parties n'allèguent aucune circonstance particulière ( ATF 111 Ia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(arrêts 6B_124/2012 du 22 juin 2012, consid. 2.2 et 2.3; 5D_45/2009 du 26 juin 2009, consid. 3.1; 1P.85/2005 du 15 mars 2005, consid. 2). En l'espèce, la Cour d'appel a éliminé quelques-unes des prestations énumérées par l'avocat des demandeurs; elle devait donc motiver sa décision et un paragraphe de son arrêt est dûment consacré à ce sujet. Il convient de souligner que la liste, en tant qu'elle fondait un calcul précis du montant des dépens, devait être transmise à l'adverse partie aussi dans l'éventualité où aucune prestation n'était retranchée.</w:t>
      </w:r>
    </w:p>
    <w:p>
      <w:r>
        <w:t>Parce que la défenderesse condamnée aux dépens n'a pas pu prendre position sur la liste de frais, l'arrêt attaqué doit être annulé dans la mesure où il fixe le montant des dépens d'appel; la cause doit être renvoyée à l'autorité précédente pour qu'elle statue à nouveau sur ce montant, après qu'elle aura transmis la liste à la partie débitrice et recueilli ses observations.</w:t>
      </w:r>
    </w:p>
    <w:p>
      <w:r>
        <w:rPr>
          <w:b/>
        </w:rPr>
        <w:t>E. 4</w:t>
      </w:r>
    </w:p>
    <w:p>
      <w:r>
        <w:t>Compte tenu que la défenderesse A.________ SA obtient partiellement gain de cause, il y a lieu à répartition de l'émolument judiciaire et des dépens de l'instance fédérale. L'émolument sera fixé à 4'000 fr.; il doit être acquitté à raison de 3'000 fr. par la défenderesse et de 1'000 fr. par les demandeurs. La charge des dépens, évaluée à 5'000 fr. tant pour la défenderesse que pour les demandeurs, doit être répartie dans la même proportion; après compensation à due concurrence, celle-là doit verser 2'500 fr. à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