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592/2009 vom 11. Februar 2010</w:t>
      </w:r>
    </w:p>
    <w:p>
      <w:r>
        <w:t>Bundesgericht, 2010-02-11, DE</w:t>
      </w:r>
    </w:p>
    <w:p>
      <w:r>
        <w:rPr>
          <w:b/>
        </w:rPr>
        <w:t xml:space="preserve">Quelle: </w:t>
      </w:r>
      <w:r>
        <w:t>https://mcp.opencaselaw.ch/entscheid/bger_4A_592_2009</w:t>
      </w:r>
    </w:p>
    <w:p>
      <w:r>
        <w:t>FR: TF 4A 592/2009 du 11 février 2010</w:t>
      </w:r>
    </w:p>
    <w:p>
      <w:r>
        <w:t>IT: TF 4A 592/2009 del 11 febbraio 2010</w:t>
      </w:r>
    </w:p>
    <w:p>
      <w:pPr>
        <w:pStyle w:val="Heading2"/>
      </w:pPr>
      <w:r>
        <w:t>Regeste</w:t>
      </w:r>
    </w:p>
    <w:p>
      <w:r>
        <w:t>Krankentaggeldleistungen | Vertragsrecht</w:t>
      </w:r>
    </w:p>
    <w:p>
      <w:pPr>
        <w:pStyle w:val="Heading2"/>
      </w:pPr>
      <w:r>
        <w:t>Erwägungen</w:t>
      </w:r>
    </w:p>
    <w:p>
      <w:r>
        <w:rPr>
          <w:b/>
        </w:rPr>
        <w:t>E. 1</w:t>
      </w:r>
    </w:p>
    <w:p>
      <w:r>
        <w:t>Das Bundesgericht prüft von Amtes wegen und mit freier Kognition, ob ein Rechtsmittel zulässig ist ( BGE 135 III 1 E. 1.1 S. 3).</w:t>
      </w:r>
    </w:p>
    <w:p>
      <w:r>
        <w:rPr>
          <w:b/>
        </w:rPr>
        <w:t>E. 1.1</w:t>
      </w:r>
    </w:p>
    <w:p>
      <w:r>
        <w:t>Streitig sind Leistungen aus einer Zusatzversicherung zur sozialen Krankenversicherung. Derartige Zusatzversicherungen unterstehen gemäss Art. 12 Abs. 2 und 3 des Krankenversicherungsgesetzes (KVG; SR 832.10) dem Versicherungsvertragsgesetz (VVG; SR 221.229.1). Streitigkeiten aus solchen Versicherungen sind privatrechtlicher Natur, weshalb die Beschwerde in Zivilsachen grundsätzlich in Betracht kommt ( BGE 133 III 439 E. 2.1 S. 441 f.).</w:t>
      </w:r>
    </w:p>
    <w:p>
      <w:r>
        <w:rPr>
          <w:b/>
        </w:rPr>
        <w:t>E. 1.2</w:t>
      </w:r>
    </w:p>
    <w:p>
      <w:r>
        <w:t>In vermögensrechtlichen Angelegenheiten ist die Beschwerde in Zivilsachen aber - unter Vorbehalt arbeits- und mietrechtlicher Fälle ( Art. 74 Abs. 1 lit. a BGG ) - grundsätzlich nur zulässig, wenn der Streitwert mindestens Fr. 30'000.-- beträgt ( Art. 74 Abs. 1 lit. b BGG ). Dass nach kantonalem Recht entgegen Art. 75 Abs. 2 BGG nur eine einzige Instanz vorgesehen ist, ändert daran nichts ( BGE 133 III 439 E. 2.2.2.2 S. 444). Bei der Berechnung des Streitwerts wird der Betrag einer Widerklage nicht mit demjenigen der Hauptklage zusammengerechnet ( Art. 53 Abs. 1 BGG ). Schliessen sich die in Hauptklage und Widerklage geltend gemachten Ansprüche aus und erreicht eine der beiden Klagen die Streitwertgrenze nicht, so gilt die Streitwertgrenze auch für diese Klage als erreicht, wenn sich die Beschwerde auf beide Klagen bezieht ( Art. 53 Abs. 2 BGG ). Erreicht weder die Haupt- noch die Widerklage den geforderten Streitwert, ist die Beschwerde in Zivilsachen - abgesehen von hier nicht gegebenen Ausnahmen ( Art. 74 Abs. 2 lit. b - d BGG ) - nur zulässig, wenn sich eine Rechtsfrage von grundsätzlicher Bedeutung stellt ( Art. 74 Abs. 2 lit. a BGG ), wobei in der Beschwerdeschrift auszuführen ist, warum diese Voraussetzung erfüllt ist ( Art. 42 Abs. 2 BGG ). Der Streitwert der Hauptklage beträgt Fr. 19'749.05, derjenige der Widerklage Fr. 14'475.--. Der erforderliche Streitwert ist daher nicht gegeben. Dass eine Rechtsfrage von grundsätzlicher Bedeutung vorliege, behauptet die Beschwerdeführerin nicht, weshalb die Beschwerde in Zivilsachen nicht offen steht. Auch eine Konversion des Rechtsmittels in eine subsidiäre Verfassungsbeschwerde ( Art. 113 ff. BGG ) kommt nicht in Frage, da die Beschwerdeführerin keine Verletzung von verfassungsmässigen Rechten ( Art. 116 BGG ), sondern lediglich von Bundeszivilrecht rügt.</w:t>
      </w:r>
    </w:p>
    <w:p>
      <w:r>
        <w:rPr>
          <w:b/>
        </w:rPr>
        <w:t>E. 1.3</w:t>
      </w:r>
    </w:p>
    <w:p>
      <w:r>
        <w:t>Dass im Urteil der Vorinstanz ein Streitwert von über Fr. 30'000.-- angegeben und auf die Bestimmungen der Beschwerde in Zivilsachen verwiesen wird, hilft der Beschwerdeführerin nicht. Zwar dürfen den Parteien aus einer unrichtigen Rechtsmittelbelehrung keine Nachteile erwachsen ( Art. 49 BGG ). Eine falsche Rechtsmittelbelehrung kann indessen keine Rechtsmittelmöglichkeit schaffen, die es gemäss Gesetz gar nicht gibt ( BGE 125 II 293 E. 1d S. 300; 113 Ib 212 E. 1 S. 213; AMSTUTZ/ARNOLD, Basler Kommentar, Bundesgerichtsgesetz, 2008, N. 11 zu Art. 49 BGG ). Ein Nachteil könnte gegeben sein, wenn die Beschwerdeführerin im Vertrauen auf die Zulässigkeit der Beschwerde in Zivilsachen unterlassen hat, die Verletzung verfassungsmässiger Rechte zu rügen oder geltend zu machen, es stelle sich eine Rechtsfrage von grundsätzlicher Bedeutung. Vertrauensschutz geniesst aber nur, wer die Unrichtigkeit der Rechtsmittelbelehrung nicht kennt und sie auch bei gebührender Aufmerksamkeit nicht hätte erkennen können. Rechtsuchende geniessen keinen Vertrauensschutz, wenn der Mangel für sie bzw. ihren Rechtsvertreter allein schon durch Konsultierung der massgeblichen Verfahrensbestimmung ersichtlich ist. Dagegen wird nicht verlangt, dass neben den Gesetzestexten auch noch die einschlägige Rechtsprechung oder Literatur nachgeschlagen wird ( BGE 134 I 199 E. 1.3.1 S. 203 mit Hinweisen). Die Beschwerdeführerin bzw. ihr Rechtsvertreter hätte bei gehöriger Sorgfalt mit einem Blick auf Art. 53 BGG erkennen können, dass der Betrag einer Widerklage entgegen der Annahme der Vorinstanz nicht mit demjenigen der Hauptklage zusammengerechnet wird, weshalb die Beschwerde in Zivilsachen grundsätzlich nicht gegeben ist, wenn weder die Haupt- noch Widerklage den geforderten Streitwert erreichen.</w:t>
      </w:r>
    </w:p>
    <w:p>
      <w:r>
        <w:rPr>
          <w:b/>
        </w:rPr>
        <w:t>E. 2</w:t>
      </w:r>
    </w:p>
    <w:p>
      <w:r>
        <w:t>Damit ist auf die Beschwerde insgesamt nicht einzutreten. Bei diesem Verfahrensausgang wird die Beschwerdeführerin kostenpflichtig ( Art. 66 Abs. 1 BGG ); die grundsätzliche Kostenfreiheit gilt nur für das kantonale Verfahren ( Art. 85 Abs. 3 VAG ). Der nicht anwaltlich vertretenen Beschwerdegegnerin ist praxisgemäss keine Parteientschädigung zuzusprechen, da ihr kein ausserordentlicher Aufwand entstanden ist ( Art. 68 Abs. 1 und 2 BGG ; vgl. BGE 133 III 439 E. 4 S. 446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