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4A_591/2024 vom 16. Dezember 2024</w:t>
      </w:r>
    </w:p>
    <w:p>
      <w:r>
        <w:t>Bundesgericht, 2024-12-16, DE</w:t>
      </w:r>
    </w:p>
    <w:p>
      <w:r>
        <w:rPr>
          <w:b/>
        </w:rPr>
        <w:t xml:space="preserve">Quelle: </w:t>
      </w:r>
      <w:r>
        <w:t>https://mcp.opencaselaw.ch/entscheid/bger_4A_591_2024</w:t>
      </w:r>
    </w:p>
    <w:p>
      <w:r>
        <w:t>FR: TF 4A_591/2024 du 16 décembre 2024</w:t>
      </w:r>
    </w:p>
    <w:p>
      <w:r>
        <w:t>IT: TF 4A_591/2024 del 16 dicembre 2024</w:t>
      </w:r>
    </w:p>
    <w:p>
      <w:pPr>
        <w:pStyle w:val="Heading2"/>
      </w:pPr>
      <w:r>
        <w:t>Erwägungen</w:t>
      </w:r>
    </w:p>
    <w:p>
      <w:r>
        <w:rPr>
          <w:b/>
        </w:rPr>
        <w:t>E. 1</w:t>
      </w:r>
    </w:p>
    <w:p>
      <w:r>
        <w:t>Am 26. Juni 2024 teilte das Amt für Handelsregister und Notariate des Kantons St. Gallen dem Handelsgerichtspräsidenten des Kantons St. Gallen mit, dass gegen die Beschwerdegegnerin mehrere Verlustscheine vorlägen. Damit sei durch die für die Zwangsverwertung zuständigen Behörden abschliessend festgestellt, dass die Gesellschaft über keine verwertbaren Aktiven mehr verfüge, woraus zu schliessen sei, dass die Geschäftstätigkeit aufgegeben worden sei. Innert der vom Handelsregisteramt angesetzten Frist seien keine Mitteilungen eingereicht oder Gründe für die Aufrechterhaltung der Eintragung geltend gemacht worden.</w:t>
      </w:r>
    </w:p>
    <w:p>
      <w:r>
        <w:t>Nachdem das Handelsregisteramt nach Art. 934 Abs. 2 OR einen dreimaligen Rechnungsruf im SHAB veranlasst hatte, habe der Beschwerdeführer mit Schreiben vom 13. Juni 2024 ein Interesse an der Aufrechterhaltung der Gesellschaft geltend gemacht. Das Handelsregisteramt überwies die Angelegenheit daher gestützt auf Art. 934 Abs. 3 OR dem Handelsgerichtspräsidenten zum Entscheid.</w:t>
      </w:r>
    </w:p>
    <w:p>
      <w:r>
        <w:t>Am 25. Juli 2024 setzte der Handelsgerichtspräsident dem Beschwerdeführer eine Frist bis zum 19. August 2024 an, um den Antrag auf Aufrechterhaltung der Gesellschaft umfassend zu begründen. Gleichzeitig setzte er dem Beschwerdeführer eine Frist bis zum 19. August 2024 an, um einen Kostenvorschuss von Fr. 500.-- zu leisten.</w:t>
      </w:r>
    </w:p>
    <w:p>
      <w:r>
        <w:t>Nachdem innert Frist weder der Kostenvorschuss geleistet noch eine Begründung eingereicht worden war, trat der Handelsgerichtspräsident mit Entscheid vom 14. Oktober 2024 auf das Gesuch des Beschwerdeführers nicht ein, ordnete die Löschung der Beschwerdegegnerin an und wies das Handelsregisteramt an, die Löschung nach Rechtskraft des Entscheids im Handelsregister einzutragen.</w:t>
      </w:r>
    </w:p>
    <w:p>
      <w:r>
        <w:t>Mit Eingabe vom 12. November 2024 erklärte der Beschwerdeführer dem Bundesgericht, den Entscheid des Handelsgerichtspräsidenten des Kantons St. Gallen vom 14. Oktober 2024 mit Beschwerde anfechten zu wollen und ersuchte gleichzeitig um Gewährung der unentgeltlichen Rechtspflege.</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12. November 2024 nicht hinreichend mit den Erwägungen des angefochtenen Entscheids des Handelsgerichtspräsidenten des Kantons St. Gallen vom 14. Oktober 2024 auseinander und zeigt nicht rechtsgenügend auf, inwiefern die Vorinstanz mit ihrem Nichteintretensentscheid Bundesrecht verletzt hätte. Vielmehr unterbreitet er dem Bundesgericht in unzulässiger Weise seine eigene Sicht der Dinge.</w:t>
      </w:r>
    </w:p>
    <w:p>
      <w:r>
        <w:t>Auf die Beschwerde ist somit im vereinfachten Verfahren nach Art. 108 Abs. 1 lit. b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