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591/2011 vom 17. April 2012</w:t>
      </w:r>
    </w:p>
    <w:p>
      <w:r>
        <w:t>Bundesgericht, 2012-04-17, DE</w:t>
      </w:r>
    </w:p>
    <w:p>
      <w:r>
        <w:rPr>
          <w:b/>
        </w:rPr>
        <w:t xml:space="preserve">Quelle: </w:t>
      </w:r>
      <w:r>
        <w:t>https://mcp.opencaselaw.ch/entscheid/bger_4A_591_2011</w:t>
      </w:r>
    </w:p>
    <w:p>
      <w:r>
        <w:t>FR: TF 4A 591/2011 du 17 avril 2012</w:t>
      </w:r>
    </w:p>
    <w:p>
      <w:r>
        <w:t>IT: TF 4A 591/2011 del 17 aprile 2012</w:t>
      </w:r>
    </w:p>
    <w:p>
      <w:pPr>
        <w:pStyle w:val="Heading2"/>
      </w:pPr>
      <w:r>
        <w:t>Regeste</w:t>
      </w:r>
    </w:p>
    <w:p>
      <w:r>
        <w:t>Kaufvertrag | Vertragsrecht</w:t>
      </w:r>
    </w:p>
    <w:p>
      <w:pPr>
        <w:pStyle w:val="Heading2"/>
      </w:pPr>
      <w:r>
        <w:t>Erwägungen</w:t>
      </w:r>
    </w:p>
    <w:p>
      <w:r>
        <w:rPr>
          <w:b/>
        </w:rPr>
        <w:t>E. 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w:t>
      </w:r>
    </w:p>
    <w:p>
      <w:r>
        <w:rPr>
          <w:b/>
        </w:rPr>
        <w:t>E. 2.1</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135 II 145 E. 8.2 mit Hinweisen). Nur so kann das Bundesgericht die korrekte Rechtsanwendung im Einzelfall überprüfen ( BGE 135 II 145 E. 8.2). Einen Entscheid, der diesen Anforderungen nicht genügt, kann das Bundesgericht an die kantonale Behörde zur Verbesserung zurückweisen oder aufheben ( Art. 112 Abs. 3 BGG ).</w:t>
      </w:r>
    </w:p>
    <w:p>
      <w:r>
        <w:rPr>
          <w:b/>
        </w:rPr>
        <w:t>E. 2.2</w:t>
      </w:r>
    </w:p>
    <w:p>
      <w:r>
        <w:t>Zwischen den Parteien ist umstritten, welche Tatsachen die Beschwerdeführerin zu beweisen hat. Nach deren Ansicht hat die Vorinstanz Art. 42 CISG verletzt, indem sie ihr zu Unrecht die Beweislast dafür überbunden habe, dass die Beschwerdegegnerin nicht vertragsgemässe Ware geliefert habe. Denn der Käufer habe nach Art. 42 CISG in dieser Hinsicht nur nachzuweisen, dass ein Dritter ihm gegenüber ein Schutzrecht beansprucht habe. Nach Ansicht der Beschwerdegegnerin hat die Beschwerdeführerin hingegen zu beweisen, dass die von ihr gelieferte Ware Schutzrechte Dritter effektiv verletzt haben.</w:t>
      </w:r>
    </w:p>
    <w:p>
      <w:r>
        <w:rPr>
          <w:b/>
        </w:rPr>
        <w:t>E. 2.3</w:t>
      </w:r>
    </w:p>
    <w:p>
      <w:r>
        <w:t>Nach Art. 42 Abs. 1 CISG hat der Verkäufer Ware zu liefern, die frei von Rechten oder Ansprüchen Dritter ist, die auf gewerblichem oder anderem geistigen Eigentum beruhen und die der Verkäufer bei Vertragsabschluss kannte oder über die er nicht in Unkenntnis sein konnte, vorausgesetzt, das Recht oder der Anspruch beruht auf gewerblichem oder anderem geistigen Eigentum. Erfüllt der Verkäufer diese Pflicht nicht, so kann der Käufer nach Art. 45 Abs. 1 CISG die in den Art. 46-52 CISG vorgesehenen Rechte ausüben oder Schadenersatz nach der Art. 74-77 CISG verlangen. Den Käufer trifft nach auch in der Lehre unbestrittener Ansicht die Beweislast dafür, dass Schutzrechte oder -ansprüche Dritter geltend gemacht werden (vgl. nur MAGNUS, in: Honsell [Hrsg.], Kommentar zum UN-Kaufrecht, 2. Aufl. 2010, N. 20 zu Art. 42 CISG ; SCHWENZER, in: Schlechtriem/Schwenzer, Kommentar zum Einheitlichen UN-Kaufrecht, 5. Aufl. 2008, N. 29 zu Art. 42 CISG ). Nicht erforderlich ist demnach, dass die geltend gemachten Schutzansprüche effektiv begründet sind (CHRISTOPH BRUNNER, UN-Kaufrecht - CISG, 2004, N. 4 zu Art. 42 CISG ). Wie sich bereits aus dem Wortlaut von Art. 42 CISG ergibt, bestehen Ansprüche aus Rechtsgewährleistung indessen nur gegen jenen Verkäufer, in Bezug auf dessen Ware Ansprüche Dritter geltend gemacht werden. Hat der Käufer mehrere Lieferanten und bestreitet der Verkäufer, dass die Drittansprüche die von ihm gelieferte Ware betreffen, reicht der blosse Nachweis des Käufers, dass Schutzansprüche Dritter geltend gemacht wurden, nicht. Solches lässt sich auch nicht aus den zitierten Kommentaren ableiten. Denn es erscheint selbstverständlich, dass sich diese Ansprüche jeweils auf die Ware des belangten Verkäufers beziehen müssen und nicht etwa auf die Ware eines anderen Verkäufers (vgl. auch deutlich SCHÖNLE/HIGI, Zürcher Kommentar, 3. Aufl. 2005, N. 26 zu Art. 194 OR ).</w:t>
      </w:r>
    </w:p>
    <w:p>
      <w:r>
        <w:rPr>
          <w:b/>
        </w:rPr>
        <w:t>E. 2.4</w:t>
      </w:r>
    </w:p>
    <w:p>
      <w:r>
        <w:t>Dem vorinstanzlichen Urteil lässt sich nicht mit der nötigen Klarheit entnehmen, ob die Vorinstanz diese Grundsätze in ihrer Urteilsbegründung rechtskonform angewendet hat. Während zu Beginn in E. 3 zutreffend dargelegt wird, dass es nicht darauf ankomme, ob B.________ das Geschmacksmusterrecht zu Recht oder Unrecht gegen die Beschwerdeführerin geltend mache, führt die Vorinstanz etwa in E. 4a aus, der Beschwerdeführerin obliege der Hauptbeweis dafür, dass die Beschwerdegegnerin unlizenzierte Warensicherungsetiketten verkauft habe. Unklar ist indessen insbesondere, für welche Tatsachen die Vorinstanz den Beweis als gelungen bzw. gescheitert betrachtet hat. Namentlich geht aus dem vorinstanzlichen Urteil nicht hervor, ob die Beschwerdegegnerin bestritten hat, dass sich die von B.________ geltend gemachten Ansprüche auf die von der Beschwerdegegnerin gelieferten Sicherheitsetiketten bezogen hätten. Ohne diese Angaben ist es dem Bundesgericht nicht möglich, den vorliegenden Fall zu beurteilen. Das angefochtene Urteil ist daher mangels hinreichend klarer Angabe der massgebenden Gründe tatsächlicher und rechtlicher Art in Anwendung von Art. 112 Abs. 3 BGG aufzuheben und an die Vorinstanz zu neuer Entscheidung zurückzuweisen.</w:t>
      </w:r>
    </w:p>
    <w:p>
      <w:r>
        <w:rPr>
          <w:b/>
        </w:rPr>
        <w:t>E. 3</w:t>
      </w:r>
    </w:p>
    <w:p>
      <w:r>
        <w:t>Nach dem Gesagten ist das Urteil des Kantonsgerichts Schwyz vom 30. August 2011 aufzuheben und die Sache an die Vorinstanz zurückzuweisen.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