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4A_590/2024 vom 18. Dezember 2025</w:t>
      </w:r>
    </w:p>
    <w:p>
      <w:r>
        <w:t>Bundesgericht, 2025-12-18, FR</w:t>
      </w:r>
    </w:p>
    <w:p>
      <w:r>
        <w:rPr>
          <w:b/>
        </w:rPr>
        <w:t xml:space="preserve">Quelle: </w:t>
      </w:r>
      <w:r>
        <w:t>https://mcp.opencaselaw.ch/entscheid/bger_4A_590_2024</w:t>
      </w:r>
    </w:p>
    <w:p>
      <w:r>
        <w:t>FR: TF 4A_590/2024 du 18 décembre 2025</w:t>
      </w:r>
    </w:p>
    <w:p>
      <w:r>
        <w:t>IT: TF 4A_590/2024 del 18 dicembre 2025</w:t>
      </w:r>
    </w:p>
    <w:p>
      <w:pPr>
        <w:pStyle w:val="Heading2"/>
      </w:pPr>
      <w:r>
        <w:t>Erwägungen</w:t>
      </w:r>
    </w:p>
    <w:p>
      <w:r>
        <w:rPr>
          <w:b/>
        </w:rPr>
        <w:t>E. 1</w:t>
      </w:r>
    </w:p>
    <w:p>
      <w:r>
        <w:t>Interjeté en temps utile ( art. 100 al. 1 LTF et 46 al. 1 let. b LTF) par les défenderesses qui ont succombé dans leurs conclusions ( art. 76 al. 1 LTF ), dirigé contre un arrêt final ( art. 90 LTF ) rendu sur appel par le tribunal supérieur du canton de Vaud ( art. 75 LTF ) dans une affaire de droit des contrats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recourantes soutiennent que la cour cantonale a violé le droit en procédant à l'appréciation des preuves déposées devant elle, à l'appui de leur grief tendant à l'admission des allégués contenus dans leur procédé écrit. Elles soutiennent que la cour cantonale aurait dû apprécier uniquement les preuves citées à l'appui des faits contestés par la partie adverse. Or, les demandeurs ne se sont pas déterminés sur les allégués contenus dans le procédé écrit, de sorte que la cour cantonale ne pouvait pas considérer qu'ils étaient contestés. Elles invoquent pêle-mêle la violation de l' art. 150 CPC , un formalisme excessif ( art. 29 al. 1 Cst. ), la violation du droit à la preuve ( art. 152 CPC ), et la violation de leur droit d'être entendu ( art. 29 al. 2 Cst. ).</w:t>
      </w:r>
    </w:p>
    <w:p>
      <w:r>
        <w:rPr>
          <w:b/>
        </w:rPr>
        <w:t>E. 3.1.1</w:t>
      </w:r>
    </w:p>
    <w:p>
      <w:r>
        <w:t>Lorsque la maxime des débats est applicable ( art. 55 al. 1 CPC ;</w:t>
      </w:r>
    </w:p>
    <w:p>
      <w:r>
        <w:t>Verhandlungsmaxime; massima dispositiva ), il incombe aux parties, et non au juge, de rassembler les faits du procès ( ATF 123 III 60 consid. 3a; arrêt 4A_555/2015 du 18 mars 2016 consid. 2.3).</w:t>
      </w:r>
    </w:p>
    <w:p>
      <w:r>
        <w:t>Les parties doivent alléguer les faits sur lesquels elles fondent leurs prétentions (fardeau de l'allégation subjectif;</w:t>
      </w:r>
    </w:p>
    <w:p>
      <w:r>
        <w:t>subjektive Behauptungslast; onere di allegazione ), produire les moyens de preuve qui s'y rapportent (</w:t>
      </w:r>
    </w:p>
    <w:p>
      <w:r>
        <w:t>Beweisführungslast; onere di deduzione delle prove ) ( art. 55 al. 1 CPC ) et contester les faits allégués par la partie adverse (</w:t>
      </w:r>
    </w:p>
    <w:p>
      <w:r>
        <w:t>Bestreitungslast; onere di contestazione ). Les faits doivent être contestés dans la réponse (art. 222 al. 2, 2e phrase, CPC) et, pour les faits allégués par le défendeur, en règle générale, dans la réplique, car seuls les faits contestés doivent être prouvés ( art. 150 al. 1 CPC ; ATF 144 III 519 consid. 5.1; 141 III 433 consid. 2.6). Une contestation en bloc (</w:t>
      </w:r>
    </w:p>
    <w:p>
      <w:r>
        <w:t>pauschale Bestreitung ) ne suffit pas ( ATF 141 III 433 consid. 2.6; arrêt 4A_261/2017 précité consid. 4.3).</w:t>
      </w:r>
    </w:p>
    <w:p>
      <w:r>
        <w:rPr>
          <w:b/>
        </w:rPr>
        <w:t>E. 3.1.2</w:t>
      </w:r>
    </w:p>
    <w:p>
      <w:r>
        <w:t>Lorsqu'elle omet d'accomplir un acte de procédure dans le délai prescrit ou ne se présente pas lorsqu'elle est citée à comparaître, la partie au procès est défaillante. Dans ce cas, la procédure suit son cours sans qu'il soit tenu compte du défaut, à moins que la loi n'en dispose autrement ( art. 147 al. 1-2 CPC ).</w:t>
      </w:r>
    </w:p>
    <w:p>
      <w:r>
        <w:t>La réplique et la duplique, contrairement à la réponse, ne constituent pas la première (ou la seule) déclaration d'une partie dans la procédure. Le défaut du dépôt d'un acte dans le deuxième échange d'écritures ne rend pas le premier échange caduc. La décision peut être fondée sur un débat contradictoire malgré l'absence d'une seconde écriture. En cela, les conséquences du défaut de réplique ou duplique ne sont pas identiques à celle du défaut de réponse dont le régime est prévu par l' art. 223 CPC . De la même manière qu'en application de l' art. 234 al. 1 CPC en cas de défaut à l'audience des débats principaux, le tribunal statue dans un tel cas sur la base des actes régulièrement déposés (arrêt 4A_106/2020 du 8 juillet 2020 consid. 2.3.3 et les références citées). Par extension, le simple fait que les allégués produits dans la duplique n'aient pas été contestés dans une détermination sur les faits de la duplique ne signifie pas que ceux-ci soient admis. Si la demande et la réponse indiquent clairement quels sont les faits litigieux et si ceux-ci peuvent être prouvés, la partie demanderesse n'est pas tenue de prendre position à nouveau dans la réplique, encore moins, a fortiori, dans une détermination sur les faits de la duplique (cf. arrêt 4A_106/2020 précité consid. 2.3).</w:t>
      </w:r>
    </w:p>
    <w:p>
      <w:r>
        <w:rPr>
          <w:b/>
        </w:rPr>
        <w:t>E. 3.1.3</w:t>
      </w:r>
    </w:p>
    <w:p>
      <w:r>
        <w:t>En appel, en général, l'autorité peut statuer sur pièce, demander un deuxième échange d'écritures et administrer des preuves ( art. 316 al. 1-3 CPC ). Elle doit en principe statuer sur les faits et les preuves proposés en première instance. Exceptionnellement, un renvoi pour compléter l'état de fait sur des points essentiels selon l' art. 318 al. 1 let . c ch. 2 CPC n'est envisageable que dans le cas où l'instance d'appel devrait mener une procédure probatoire étendue. Un renvoi n'est pas nécessaire lorsque seule l'administration de certains moyens de preuve est en question et que la procédure probatoire qui doit encore être menée n'exige pas de gros efforts. En effet, dans ce cas, la condition selon laquelle l'état de fait qui résulte en premier lieu des conclusions des parties devant la première instance doit être complété sur des points essentiels, n'est en général pas remplie (arrêts 5A_786/2021 du 18 mars 2022 consid. 5.1; 5A_424/2018 du 3 décembre 2018 consid. 4.2). Les parties n'ont au demeurant pas de droit au renvoi de la cause en première instance, cette question entrant dans le pouvoir d'appréciation de la cour d'appel (arrêts 5A_786/2021 précité consid. 5.1; 5A_424/2018 précité consid. 4.2).</w:t>
      </w:r>
    </w:p>
    <w:p>
      <w:r>
        <w:rPr>
          <w:b/>
        </w:rPr>
        <w:t>E. 3.2</w:t>
      </w:r>
    </w:p>
    <w:p>
      <w:r>
        <w:t>En l'espèce, la cour cantonale a considéré que le procédé écrit aurait dû être déclaré recevable par le tribunal de première instance, chaque partie ayant le droit de s'exprimer librement deux fois, par le biais d'une écriture ou oralement au début des premières plaidoiries.</w:t>
      </w:r>
    </w:p>
    <w:p>
      <w:r>
        <w:t>Saisie d'un appel concluant principalement au complètement de l'état de fait par l'intégration des allégués du procédé écrit aux faits de la cause et, subsidiairement, au renvoi de la cause en première instance pour compléter l'état de fait, la cour cantonale a administré elle-même les preuves proposées par les appelantes.</w:t>
      </w:r>
    </w:p>
    <w:p>
      <w:r>
        <w:t>D'abord, la cour cantonale a considéré que les demandeurs intimés ne s'étaient pas déterminés sur les allégués du procédé écrit, ni en première instance, ni dans leur réponse à l'appel, alors qu'ils en avaient eu l'occasion. Elle a considéré que ceux-ci étaient contestés à la lumière de la demande, de la détermination sur les faits de la réponse et de la réponse à l'appel. Elle a donc procédé à l'administration des preuves déposées en appel. Ensuite, les appelantes, qui ont pourtant conclu principalement au complètement de l'état de fait, n'ont pas déposé de réquisition de preuves devant la cour cantonale afin qu'elle administre elle-même les preuves soutenant les allégués de son procédé écrit. La cour cantonale a considéré que les témoignages et auditions de parties citées en-dessous des allégués du procédé écrit - et dont l'administration n'a pas été requise devant elle - devaient par conséquent être écartées. Elle s'est enfin limitée à apprécier les preuves par titre déposées en première instance et figurant donc déjà au dossier pour considérer, en l'espèce, qu'elles ne prouvaient pas les allégués à l'appui desquels elles étaient citées.</w:t>
      </w:r>
    </w:p>
    <w:p>
      <w:r>
        <w:rPr>
          <w:b/>
        </w:rPr>
        <w:t>E. 3.3.1</w:t>
      </w:r>
    </w:p>
    <w:p>
      <w:r>
        <w:t>Dans la jurisprudence précitée, les demandeurs n'étaient pas tenus de prendre position sur la réponse dans une réplique et la cour cantonale ne pouvait pas considérer que les faits de la réponse étaient admis par la simple absence de détermination des demandeurs. A fortiori, dans le cas d'espèce, les demandeurs n'étaient pas tenus de se déterminer sur les faits du procédé écrit survenu après la réponse des défendeurs. En effet, la demande indiquant clairement quels étaient les faits litigieux et si ceux-ci pouvaient être prouvés, les demandeurs n'étaient pas tenus de prendre position à nouveau dans une réplique (arrêt 4A_106/2020 précité consid. 2.3). La cour cantonale devait donc statuer en tenant compte des autres écrits déposés par les demandeurs conformément à la procédure, à savoir la demande, la détermination sur les faits de la réponse et la réponse à l'appel, sans tenir compte du défaut de détermination sur les faits du procédé écrit. Au regard des faits de la demande, la cour cantonale a considéré que tous les faits figurant dans le procédé écrit étaient contestés par les demandeurs. La cour cantonale pouvait alors procéder à l'administration et l'appréciation des preuves sur les faits contestés. De cette façon les défenderesses ont obtenu que la cour cantonale statue sur les faits qu'elles alléguaient dans le procédé écrit, et les demandeurs n'ont supporté aucun inconvénient procédural du fait qu'ils n'avaient pas contesté formellement les allégués du procédé écrit, puisque la cour cantonale a considéré que tel était le cas, à la lumière de leur demande et conformément à la jurisprudence précitée.</w:t>
      </w:r>
    </w:p>
    <w:p>
      <w:r>
        <w:rPr>
          <w:b/>
        </w:rPr>
        <w:t>E. 3.3.2</w:t>
      </w:r>
    </w:p>
    <w:p>
      <w:r>
        <w:t>Alors qu'elles concluaient principalement à un complètement de l'état de fait, les appelantes devaient requérir, devant la cour cantonale, l'administration des preuves citées à l'appui des faits qu'elles voulaient ajouter à la procédure. La cour cantonale n'a pas violé le droit en écartant les allégués dont les preuves n'avaient pas été produites à ce stade.</w:t>
      </w:r>
    </w:p>
    <w:p>
      <w:r>
        <w:t>Les recourantes, qui soutiennent que la cour cantonale aurait dû renvoyer la cause en première instance afin de compléter l'état de fait, ne démontrent pas que les conditions d'un tel renvoi au sens de l' art. 318 al. 1 let . c ch. 2 CPC seraient réunies. Elles ont d'ailleurs principalement conclu au complètement par la cour cantonale; elles ne sont donc pas fondées à se plaindre de l'absence de renvoi alors que la cour cantonale a donné suite à cette conclusion. Au demeurant, le renvoi en première instance entre dans le pouvoir d'appréciation de la cour cantonale et les recourantes ne soulèvent, à juste titre, aucune critique de l'usage de ce pouvoir d'appréciation. Enfin dans la mesure où la procédure ne confère pas de droit aux recourantes, d'obtenir le renvoi de la cause en première instance et laissant au contraire à la cour cantonale le pouvoir de compléter elle-même l'état de fait, aucune violation du principe de la double instance cantonale prévu par l' art. 75 al. 2 LTF , dont les recourantes invoquent la violation, n'entre en ligne de compte. Il en va de même du respect de leur droit d'être entendues ( art. 29 al. 2 Cst. ).</w:t>
      </w:r>
    </w:p>
    <w:p>
      <w:r>
        <w:t>Au vu de ce qui précède, le grief doit être rejeté.</w:t>
      </w:r>
    </w:p>
    <w:p>
      <w:r>
        <w:rPr>
          <w:b/>
        </w:rPr>
        <w:t>E. 4</w:t>
      </w:r>
    </w:p>
    <w:p>
      <w:r>
        <w:t>Les recourantes soutiennent que la cour cantonale a violé le droit en leur appliquant le principe de transparence du "Durchgriff" pour imputer aux unes les actes juridiques et le comportement des autres. Elles invoquent en outre que les faits sur lesquels la cour cantonale fonde son analyse juridique sont établis de façon arbitraire ( art. 9 Cst. ).</w:t>
      </w:r>
    </w:p>
    <w:p>
      <w:r>
        <w:rPr>
          <w:b/>
        </w:rPr>
        <w:t>E. 4.1</w:t>
      </w:r>
    </w:p>
    <w:p>
      <w:r>
        <w:t>En principe, il faut prendre en compte l'indépendance juridique d'une personne morale. Ce n'est que dans des circonstances exceptionnelles qu'un tiers peut être tenu des engagements d'un débiteur. Ainsi, selon le principe de la transparence ("</w:t>
      </w:r>
    </w:p>
    <w:p>
      <w:r>
        <w:t>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(arrêt 4A_341/2021 du 15 décembre 2021 consid. 7.1);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121 III 319 consid. 5a/aa; 102 III 165 consid. II.1; arrêts 4A_341/2021 précité consid. 7.1; 4A_600/2019 du 17 juin 2020 consid. 4.1 et l'arrêt cité).</w:t>
      </w:r>
    </w:p>
    <w:p>
      <w:r>
        <w:rPr>
          <w:b/>
        </w:rPr>
        <w:t>E. 4.2</w:t>
      </w:r>
    </w:p>
    <w:p>
      <w:r>
        <w:t>En l'espèce, les sociétés défenderesses sont toutes détenues et contrôlées par F.________. Elles ne forment qu'une seule entité, ont des buts qui se recoupent en matière de courtage, de construction d'immeubles, de promotion et de mise en valeur d'immeubles, ce qui démontre qu'aucune d'elles ne poursuit un objectif distinct des autres. Les quatre sociétés ont participé ensemble, au travers du comportement de leur représentant commun, aux différents contrats litigieux. La cour cantonale a retenu que la condition de l'identité de personnes était remplie entre toutes les sociétés.</w:t>
      </w:r>
    </w:p>
    <w:p>
      <w:r>
        <w:t>De plus, le comportement adopté par ces sociétés dans le cadre des négociations portant sur la réservation, la construction et la vente de l'appartement litigieux était propre à créer une confusion dans l'esprit des demandeurs. Les sociétés A.________ Sàrl et B.________ Sàrl se dissimuleraient alors derrière les sociétés D.________ Sàrl et C.________ SA dans le but de se dégager de leur responsabilité, notamment en lien avec les informations fournies par les premières dans le cadre de la promotion de la propriété par étages.</w:t>
      </w:r>
    </w:p>
    <w:p>
      <w:r>
        <w:rPr>
          <w:b/>
        </w:rPr>
        <w:t>E. 4.3</w:t>
      </w:r>
    </w:p>
    <w:p>
      <w:r>
        <w:t>Contrairement à ce que soutiennent les recourantes, la cour cantonale n'a pas méconnu le droit, en particulier n'a pas violé l' art. 2 al. 2 CC et le principe de la transparence du "Durchgriff" en remettant en cause l'indépendance juridique de deux ou plusieurs personnes morales. Les recourantes semblent considérer que le principe ne s'appliquerait que pour nier l'indépendance juridique d'une personne morale vis-à-vis d'une personne physique, mais tel n'est pas le cas. Dans la mesure où les conditions posées par la jurisprudence, de l'identité de personnes ou à tout le moins de la domination économique d'une personne sur l'autre, de même que l'invocation de la pluralité des entités juridiques de manière abusive, soit pour en tirer un avantage indu, sont remplies, la cour cantonale n'a pas violé le droit.</w:t>
      </w:r>
    </w:p>
    <w:p>
      <w:r>
        <w:t>Contre ces constatations de fait, les recourantes soutiennent qu'elles ont été établies de manière arbitraire, sans toutefois parvenir à le démontrer (consid. 2.2 ci-dessus). Cette prémisse de leur grief est par conséquent irrecevable.</w:t>
      </w:r>
    </w:p>
    <w:p>
      <w:r>
        <w:rPr>
          <w:b/>
        </w:rPr>
        <w:t>E. 5</w:t>
      </w:r>
    </w:p>
    <w:p>
      <w:r>
        <w:t>Les recourantes soutiennent que les documents contractuels ne contenaient pas d'indication concernant la surface du logement, de sorte que celle-ci ne pouvait être considérée comme une qualité promise.</w:t>
      </w:r>
    </w:p>
    <w:p>
      <w:r>
        <w:rPr>
          <w:b/>
        </w:rPr>
        <w:t>E. 5.1</w:t>
      </w:r>
    </w:p>
    <w:p>
      <w:r>
        <w:t>Aux termes de l' art. 197 CO le vendeur est tenu de garantir l'acheteur tant en raison des qualités promises qu'en raison des défauts qui, matériellement ou juridiquement, enlèvent à la chose soit sa valeur, soit son utilité prévue, ou qui les diminuent dans une notable mesure.</w:t>
      </w:r>
    </w:p>
    <w:p>
      <w:r>
        <w:t>Constitue un défaut, l'absence d'une qualité promise par le vendeur ou à laquelle l'acheteur pouvait s'attendre selon les règles de la bonne foi ( ATF 135 III 345 consid. 3.2, 114 II 239 consid. 5a, arrêts 4A_627/2020 du 24 août 2021 consid. 4.1, 4C.193/1997 du 12 octobre 1999 consid. 3, cf. également arrêt 4A_227/2014 du 24 novembre 2014 consid. 3.1.1; TERCIER/CARRON, les contrats spéciaux, 6e éd., n. 664). Cette qualité promise doit encore être décisive pour l'acheteur ( ATF 87 II 244 consid. 1a, arrêts 4A_535/2021 du 6 mai 2022 consid. 5.1; 4A_417/2007 du 14 février 2008 consid. 5.1). Toutefois lorsque d'après le cours normal des choses, l'assurance est de nature à emporter la décision de l'acheteur, la causalité est présumée ( ATF 1 II 239 consid. 4, arrêts 4A_535/2021 précité consid. 5.1; 4A_417/2007 précité consid. 5.1, 4C.364/2000 du 15 mai 2001 consid. 3c/bb).</w:t>
      </w:r>
    </w:p>
    <w:p>
      <w:r>
        <w:t>Afin de déterminer si une indication de qualité par le vendeur devait être considérée comme une promesse, il convient de procéder à l'interprétation du contrat ( ATF 109 II 24 consid. 4, arrêt 4A_535/2021 du 6 mai 2022 consid. 5.1).</w:t>
      </w:r>
    </w:p>
    <w:p>
      <w:r>
        <w:rPr>
          <w:b/>
        </w:rPr>
        <w:t>E. 5.1.1</w:t>
      </w:r>
    </w:p>
    <w:p>
      <w:r>
        <w:t>L'interprétation du contrat est régie par l' art. 18 CO . En droit suisse des contrats, la question de savoir si les parties ont conclu un accord est soumise au principe de la priorité de la volonté subjective sur la volonté objective ( ATF 144 III 93 consid. 5.2.1; 123 III 35 consid. 2b, arrêt 4A_643/2020 du 22 octobre 2021 consid. 4).</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5.1.2</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précité consid. 4.2.3).</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5.1.3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arrêts cités).</w:t>
      </w:r>
    </w:p>
    <w:p>
      <w:r>
        <w:t>Les surfaces indiquées dans la plaquette de vente promotionnelle de courtiers ou les plans utilisés lors des pourparlers contractuels précédant la conclusion du contrat de vente d'une part d'étage sont des qualités promises; l'acheteur peut en principe s'y fier, sans avoir à vérifier leur exactitude avant de conclure le contrat (arrêt 4A_417/2007 précité consid. 4.3 et 4.4). La surface d'un appartement qui a ainsi été promise est présumée, selon l'expérience générale de la vie, avoir été décisive dans la décision de l'acheteur d'acheter, au prix convenu, la part d'étage (arrêt 4A_417/2007 précité consid. 5). Même si l'acheteur a visité l'appartement, l'indication inexacte de la surface est présumée avoir eu une influence sur le prix qui a été convenu (arrêts 4A_499/2022 du 8 août 2023 consid. 4.1.1.1; 4A_535/2021 du 6 mai 2022 consid. 5.1.4; 4A_383/2016 du 22 septembre 2016 consid. 3.2; 4A_417/2007 précité consid. 6.3).</w:t>
      </w:r>
    </w:p>
    <w:p>
      <w:r>
        <w:rPr>
          <w:b/>
        </w:rPr>
        <w:t>E. 5.2</w:t>
      </w:r>
    </w:p>
    <w:p>
      <w:r>
        <w:t>En l'espèce, la cour cantonale a constaté que les parties au contrat n'ont pas compris la volonté interne les unes des autres à l'époque de sa conclusion, ce dont elles n'étaient pas conscientes dès le début, et considéré qu'il y avait par conséquent désaccord latent. Elle a alors procédé par interprétation de la volonté objective des parties en déterminant le sens que les acquéreurs et les venderesses pouvaient et devaient raisonnablement prêter aux déclarations de volonté de l'autre.</w:t>
      </w:r>
    </w:p>
    <w:p>
      <w:r>
        <w:t>Les contrats litigieux ne mentionnent aucune surface de l'appartement. Ils contenaient toutefois le plan du cinquième étage, y compris l'appartement litigieux, lequel correspondait à celui de la plaquette de vente, mais sans indication de mesure ou de surface. Or la plaquette de vente, accompagnant le contrat de réservation, indiquait la surface habitable et celle du balcon. Ainsi, le seul document indiquant la surface de l'appartement était celui de la plaquette de vente. La cour cantonale a considéré que les acquéreurs pouvaient se fonder sur la plaquette de vente en tant que manifestation de volonté émanant des venderesses et s'attendre à ce que l'appartement qu'ils ont acquis comporte effectivement les surfaces indiquées.</w:t>
      </w:r>
    </w:p>
    <w:p>
      <w:r>
        <w:rPr>
          <w:b/>
        </w:rPr>
        <w:t>E. 5.3</w:t>
      </w:r>
    </w:p>
    <w:p>
      <w:r>
        <w:t>La question litigieuse est celle de savoir si la surface de l'appartement consistait en une qualité promise par les recourantes venderesses dans leur contrat. Faute d'avoir pu établir une réelle et commune intention des parties sur cette question, la cour cantonale a procédé à l'interprétation objective des manifestations de volonté des parties. Elle s'est référée à juste titre aux manifestations de volonté et aux circonstances qui ont précédé ou accompagné la conclusion du contrat. En l'occurrence, la plaquette de vente émise par l'une des sociétés venderesses, adressée aux acquéreurs en accompagnement du contrat de réservation, constitue une manifestation de volonté de l'une des parties. En tant qu'elle accompagne la conclusion du contrat de réservation et précède le contrat d'entreprise et le contrat de vente, la plaquette a été prise en compte à juste titre par la cour cantonale en tant que manifestation de volonté des venderesses. Or, ladite plaquette de vente comportait l'indication des surfaces de l'appartement et correspondait au plan du 5ème étage inclus dans l'acte authentique, sans indication des surfaces. Celle-ci permettait donc d'interpréter le contrat authentique dans le sens que la surface indiquée sur la plaquette de vente devait être celle de l'appartement vendu. En application du principe de la confiance, une personne raisonnable et honnête placée dans les mêmes circonstances pouvait en effet comprendre que l'appartement comporterait les surfaces indiquées dans la plaquette de vente, à une page sur laquelle il ne figurait d'ailleurs pas la mention "document non contractuel", et ce alors qu'aucun autre document de vente de l'appartement ne comportait d'indication de la taille des surfaces. Le fait que la plaquette de vente ne revête pas la forme authentique ( art. 16 et 216 CO ) ne joue aucun rôle puisque les déclarations intervenues avant le contrat sont de purs instruments destinés à interpréter celui-ci et ne sont pas soumises à une quelconque exigence de forme. Il en va de même du fait que les parties ont intégré dans leur contrat de vente que "les descriptifs de vente, illustrations 2D ou 3D ainsi que les présentations sur l'internet ne sont pas contractuels". La surface de l'appartement étant une qualité promise, elle fait partie du contrat indépendamment de l'intégration dans l'acte authentique de cette clause "de pur style", laquelle n'a pas de portée. En particulier, elle ne saurait faire obstacle à la prise en compte de ces documents pour l'interprétation de la volonté objective des parties.</w:t>
      </w:r>
    </w:p>
    <w:p>
      <w:r>
        <w:t>La superficie indiquée dans la plaquette de vente constitue ainsi une indication de qualité qui peut être considérée comme une promesse, laquelle a été transmise aux acquéreurs comme une manifestation de volonté servant à l'interprétation objective de l'acte authentique. En tant qu'elle a emporté la décision des acquéreurs d'acheter l'appartement au prix indiqué, les venderesses en répondent.</w:t>
      </w:r>
    </w:p>
    <w:p>
      <w:r>
        <w:t>Pour le surplus, les recourantes se fondent sur une version des faits différente de celle retenue par la cour cantonale et qui lie le Tribunal fédéral, sans toutefois démontrer l'arbitraire dans l'établissement de ceux-ci (consid. 2.2 ci-dessus).</w:t>
      </w:r>
    </w:p>
    <w:p>
      <w:r>
        <w:t>Le grief doit donc être rejeté dans la mesure où il est recevable.</w:t>
      </w:r>
    </w:p>
    <w:p>
      <w:r>
        <w:rPr>
          <w:b/>
        </w:rPr>
        <w:t>E. 6</w:t>
      </w:r>
    </w:p>
    <w:p>
      <w:r>
        <w:t>Les recourantes soutiennent encore que la cour cantonale a violé le droit en considérant la clause d'exclusion de garantie nulle en raison d'une dissimulation frauduleuse des défauts de la chose. Elles soutiennent n'avoir pas dissimulé d'information et que les acquéreurs ont reçu des plans conformes à la surface de l'appartement.</w:t>
      </w:r>
    </w:p>
    <w:p>
      <w:r>
        <w:t>En tant qu'ils se fondent intégralement sur des faits qui ont été écartés par la cour cantonale pour n'avoir pas été prouvés, le Tribunal fédéral n'entre pas en matière sur ces développements, dans la mesure où il est lié par l'état de fait établi par la cour cantonale ( art. 105 al. 1 LTF ). Le grief est par conséquent irrecevable.</w:t>
      </w:r>
    </w:p>
    <w:p>
      <w:r>
        <w:rPr>
          <w:b/>
        </w:rPr>
        <w:t>E. 7</w:t>
      </w:r>
    </w:p>
    <w:p>
      <w:r>
        <w:t>Le recours doit être rejeté dans la mesure de sa recevabilité. Les recourantes, solidairement entre elles, supportent les frais de procédure ( art. 66 al. 1 LTF ) et doivent verser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