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4A_590/2018 vom 25. März 2019</w:t>
      </w:r>
    </w:p>
    <w:p>
      <w:r>
        <w:t>Bundesgericht, 2019-03-25, DE</w:t>
      </w:r>
    </w:p>
    <w:p>
      <w:r>
        <w:rPr>
          <w:b/>
        </w:rPr>
        <w:t xml:space="preserve">Quelle: </w:t>
      </w:r>
      <w:r>
        <w:t>https://mcp.opencaselaw.ch/entscheid/bger_4A_590_2018</w:t>
      </w:r>
    </w:p>
    <w:p>
      <w:r>
        <w:t>FR: TF 4A_590/2018 du 25 mars 2019</w:t>
      </w:r>
    </w:p>
    <w:p>
      <w:r>
        <w:t>IT: TF 4A_590/2018 del 25 marzo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im Zusammenhang mit geistigem Eigentum bzw. über den Gebrauch einer Firma, für die das Bundesrecht ( Art. 5 Abs. 1 lit. a und c ZPO ) eine einzige kantonale Instanz vorsieht ( Art. 75 Abs. 2 lit. a BGG ). Die Beschwerde in Zivilsachen, die sich gegen einen Endentscheid ( Art. 90 BGG ) richtet, ist demnach unabhängig vom Streitwert zulässig ( Art. 74 Abs. 2 lit. b BGG ). Auf die fristgerecht eingereichte Beschwerde ( Art. 100 Abs. 1 BGG )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Die Beschwerdeführerin verfehlt zudem die gesetzlichen Begründungsanforderungen an eine hinreichende Sachverhaltsrüge, indem sie der Vorinstanz in pauschaler Weise vorwirft, sie habe verschiedene entscheidrelevante Tatsachen gar nicht festgestellt, ohne jedoch eine konkrete Verletzung von Bundesrecht aufzuzeigen, geschweige denn mit präzisen Aktenhinweisen darzulegen, welche rechtsrelevante Tatsachen und taugliche Beweismittel sie bereits bei den Vorinstanzen prozesskonform eingebracht haben will. Zudem wirft sie der Vorinstanz eine offensichtlich falsche Sachverhaltsfeststellung vor, legt jedoch nicht dar, um welche konkrete Feststellung es sich handeln soll. Die Beschwerdeführerin zeigt mit ihren Ausführungen weder eine Verletzung des Anspruchs auf Beweisführung nach Art. 8 ZGB noch eine Gehörsverletzung ( Art. 29 Abs. 2 BV ) auf.</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setzt sich in ihrer Beschwerdeschrift verschiedentlich in unzulässiger Weise über die Sachverhaltsfeststellungen im angefochtenen Entscheid hinweg. So äussert sie sich etwa zu Einzelheiten ihrer konkreten Geschäftstätigkeit im Zusammenhang mit alternativen Anlagen sowie zu ihren Kundenbeziehungen und bringt zudem vor, ihre Kunden seien in den Vereinigten Staaten ansässig. Entgegen ihrer Ansicht kann auch nicht als gerichtsnotorisch gelten, dass das in der Schweiz benötigte Rohöl via Pipelines "vornehmlich zu den beiden Raffinerien in Cressier (Kanton Neuenburg) und Collombey (Kanton Wallis) [fliesst]". Die entsprechenden Vorbringen in der Beschwerdeschrift haben unbeachtet zu bleiben.</w:t>
      </w:r>
    </w:p>
    <w:p>
      <w:r>
        <w:rPr>
          <w:b/>
        </w:rPr>
        <w:t>E. 2</w:t>
      </w:r>
    </w:p>
    <w:p>
      <w:r>
        <w:t>Die Beschwerdeführerin rügt unter Berufung auf Art. 951 in Verbindung mit Art. 956 Abs. 2 OR eine bundesrechtswidrige Anwendung des Firmenrechts.</w:t>
      </w:r>
    </w:p>
    <w:p>
      <w:r>
        <w:rPr>
          <w:b/>
        </w:rPr>
        <w:t>E. 2.1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Handelsgesellschaften und Genossenschaften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Urteile 4A_541/2018 vom 29. Januar 2019 E. 3.1; 4A_83/2018 vom 1. Oktober 2018 E. 3.1).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S. 359; 128 III 96 E. 2a; 118 II 322 E. 1 S. 324; je mit Hinweisen). Der Firmenschutz soll dabei nur jene Verwechslungen verhindern, denen der durchschnittliche Firmenadressat mit einer gewissen Wahrscheinlichkeit unterliegt ( BGE 122 III 369 E. 2c mit Hinweis).</w:t>
      </w:r>
    </w:p>
    <w:p>
      <w:r>
        <w:rPr>
          <w:b/>
        </w:rPr>
        <w:t>E. 2.2</w:t>
      </w:r>
    </w:p>
    <w:p>
      <w:r>
        <w:t>Die Vorinstanz erwog, als blosser Hinweis auf die Rechtsform sei der Zusatz "SA" respektive "AG" nicht kennzeichnend. Die Firmenbestandteile "Group", "Shipping", "Barging", "Solutions" bzw. "Capital" seien reine Sachbezeichnungen, die den Tätigkeitsbereich der Parteien beschreiben, nämlich maritime Logistik und Transportdienstleistungen bzw. Finanzdienstleistungen. Diese Begriffe seien für sich alleine schwach und genössen nur geringen firmenrechtlichen Schutz. Was "Riverlake" anbelange, so bestehe der Begriff zwar aus den Wörtern "River" und "Lake", die beide Sachbezeichnungen seien; beim Begriff "Riverlake" handle es sich jedoch um eine Wortneuschöpfung bzw. eine Fantasiebezeichnung, da das Wort im allgemeinen Wortschatz nicht existiere. Zwar treffe es zu, dass "river lake" in getrennt geschriebener Form auf Deutsch mit "Stromsee" übersetzt werde, was als See definiert werde, dessen Pegel durch Zu- und Abflüsse überwiegend gleich bleibt. Dieser Begriff stamme jedoch aus der Elektrizitätswissenschaft und bezeichne ein Erklärungsmodell, das sich mit dem Zu- und Abfluss von Strom befasse. In den Firmen der Parteien würden "river" und "lake" zudem nicht getrennt geschrieben, womit sich das Publikum mit durchschnittlichen Englischkenntnissen über die Art der Dienstleistungen kaum Gedanken machen dürfte. Auch betrachte das Publikum ein Zeichen in der Regel nicht analytisch und zerlege es nicht in einzelne Elemente, sondern interpretiere es als Einheit. Es treffe daher nicht zu, dass das relevante Publikum im Firmenbestandteil "Riverlake" eine Sachbezeichnung erblicken werde. Auch wenn das Wort "Riverlake" nicht besonders originell sei, weise es doch als Fantasiebezeichnung einen hinreichenden Originalitätsgrad auf, sodass man nicht von einem schwachen Zeichen bzw. engen Schutzbereich ausgehen dürfe. Zudem sei der Firmenbestandteil "Riverlake" auch aufgrund der besondere Prägekraft wegen seiner Stellung am Anfang nicht als Element mit schwacher Kennzeichnungskraft einzustufen. Es sei von einem Zeichen zumindest durchschnittlicher Stärke auszugehen.</w:t>
      </w:r>
    </w:p>
    <w:p>
      <w:r>
        <w:t>Beim Firmenbestandteil "Capital" der Beschwerdeführerin handle es sich, für sich allein betrachtet, um eine Sachbezeichnung mit wenig Kennzeichnungskraft. Aber auch als nachgestellter Zusatz, der lediglich auf die Tätigkeit der Beschwerdeführerin hinweise, vermöge dieser Begriff gegenüber den älteren Firmen der Beschwerdegegnerinnen keinen deutlichen Abstand zu schaffen. Vielmehr bestehe die Gefahr, dass beim massgebenden Publikum der (falsche) Eindruck entstehe, die Beschwerdeführerin sei die Finanzierungsgesellschaft der klägerischen Riverlake-Gruppe. Für die Frage der Verwechselbarkeit unerheblich sei sodann der Umstand, dass die Beschwerdeführerin den Buchstaben "L" in "RiverLake" im Gegensatz zu den Beschwerdegegnerinnen gross schreibe. Auch diese geringfügige Abweichung schaffe keinen genügenden Abstand zu den Firmen der Beschwerdegegnerinnen. Entgegen der Meinung der Beschwerdeführerin spiele sodann keine Rolle, ob die Parteien in einem Wettbewerbsverhältnis stehen; denn die firmenrechtlichen Ausschliesslichkeitsrechte bestünden nicht nur gegenüber Konkurrenzunternehmen. Im vorliegenden Fall bestehe bereits aufgrund der weitgehenden Übereinstimmung der Firmen in den prägenden Bestandteilen eine so grosse Verwechslungsgefahr, dass den Beschwerdegegnerinnen unabhängig von einem Konkurrenzverhältnis ein Abwehranspruch zustehe. Ob und gegebenenfalls in welchem Umfang sich die Parteien gegenseitig konkurrenzierten, könne daher dahingestellt bleiben. Gleiches gelte für den Einwand der Beschwerdeführerin, die Parteien seien in unterschiedlichen Kantonen tätig: Selbst wenn in räumlicher Hinsicht keine Überschneidung der Kundenkreise bestünde, würde sich die Firma der Beschwerdeführerin nicht deutlich genug von denjenigen der Beschwerdegegnerinnen unterscheiden. Der Beschwerdeführerin sei daher zu verbieten, den Bestandteil "RiverLake" in ihrer Firma zu führen.</w:t>
      </w:r>
    </w:p>
    <w:p>
      <w:r>
        <w:rPr>
          <w:b/>
        </w:rPr>
        <w:t>E. 2.3</w:t>
      </w:r>
    </w:p>
    <w:p>
      <w:r>
        <w:t>Die Vorinstanz hat die Verwechselbarkeit der strittigen Firmen zutreffend anhand des Gesamteindrucks geprüft, den sie beim Publikum hinterlassen, und ist dabei nachvollziehbar von durchschnittlichen Englischkenntnissen ausgegangen. Der Beschwerdeführerin kann nicht gefolgt werden, wenn sie den massgebenden Verkehrskreisen besondere Sprachkenntnisse zuerkennen will. Mit der Vorinstanz ist jedenfalls nicht davon auszugehen, dass dem Publikum die Bedeutung des Begriffs "river lake" bekannt ist, der mit "Stromsee" übersetzt wird und ein Erklärungsmodell aus der Elektrizitätswissenschaft bezeichnet. Mit Blick auf die Zweckbestimmungen der Beschwerdegegnerinnen erscheint aus Sicht des Publikums eine Assoziation mit dem Tätigkeitsbereich ohnehin lediglich bei Riverlake Shipping SA und Riverlake Barging SA denkbar, nicht jedoch bei Riverlake Group SA und Riverlake Solutions SA. Die Beschwerdeführerin begründet denn auch nicht, worin ein "klarer Hinweis" auf den Tätigkeitsbereich der Beschwerdegegnerinnen bestehen soll. Der Vorinstanz ist keine Bundesrechtsverletzung vorzuwerfen, wenn sie dafürhielt, in der zusammengeschriebenen Form "Riverlake" werde dieser Zeichenbestandteil nicht als Sachbezeichnung, sondern als - nicht besonders originelle - Fantasiebezeichnung aufgefasst. Selbst unter der Annahme der Beschwerdeführerin, dass die Bezeichnung "river lake" für Orte verwendet werde, die an einer Flussmündung liegen, wäre dem Bestandteil eine durchschnittliche Kennzeichnungskraft nicht abzusprechen. Ebenso wenig ist von der Hand zu weisen, dass die strittigen Firmen im Gesamteindruck durch diesen Bestandteil geprägt werden und nicht durch die weiteren Elemente "Group SA", "Shipping SA", "Solutions SA", "Barging SA" einerseits oder "Capital AG" andererseits, die offensichtlich beschreibend sind.</w:t>
      </w:r>
    </w:p>
    <w:p>
      <w:r>
        <w:t>Der Beschwerdeführerin kann auch nicht gefolgt werden, wenn sie sich auf den Standpunkt stellt, es sei bei der Beurteilung der Verwechslungsgefahr nicht auf die Wahrnehmung des allgemeinen Publikums abzustellen, sondern auf einen engeren Verkehrskreis bestimmter Branchenangehöriger. Sie verkennt mit ihrem verschiedentlich erhobenen Einwand, wonach sich die Tätigkeitsbereiche der Parteien unterschieden, dass nach ständiger Rechtsprechung Firmen auch gegenüber Unternehmen geschützt werden, die in anderen Branchen tätig sind. Aus dem Umstand, dass die Anforderungen an die Unterscheidbarkeit der Firmen noch strenger sind, wenn zwei Unternehmen aufgrund der statutarischen Bestimmungen im Wettbewerb stehen können oder sich an die gleichen Kundenkreise wenden, lässt sich nichts zugunsten der Beschwerdeführerin ableiten. Das Bundesgericht hat die Anwendung des im Markenrecht verankerten Branchenprinzips auch für das Firmenrecht ausdrücklich abgelehnt (Urteile 4A_45/2012 vom 12. Juli 2012 E. 3.3.2; 4C.206/1999 vom 14. März 2000 E. 3c, in: sic! 5/2000 S. 399). Der von der Beschwerdeführerin erhobene Einwand, es seien aufgrund unterschiedlicher Tätigkeitsfelder der Parteien und unter Berücksichtigung des Umstands, dass diese in unterschiedlichen Kantonen domiziliert sind, besonders bescheidene Anforderungen an die Unterscheidbarkeit ihrer Firmen zu stellen, verfängt nicht.</w:t>
      </w:r>
    </w:p>
    <w:p>
      <w:r>
        <w:t>Insgesamt ist der Vorinstanz keine Verletzung von Art. 951 in Verbindung mit Art. 956 Abs. 2 OR vorzuwerfen, wenn sie davon ausging, weder der beschreibende Bestandteil "Capital AG" noch die unterschiedliche Schreibweise mit dem Grossbuchstaben "L" in der Firma der Beschwerdeführerin vermöge gegenüber den älteren Firmen der Beschwerdegegnerinnen einen deutlichen Abstand zu schaffen, der eine mittelbare Verwechslungsgefahr ausschliessen würde.</w:t>
      </w:r>
    </w:p>
    <w:p>
      <w:r>
        <w:rPr>
          <w:b/>
        </w:rPr>
        <w:t>E. 3</w:t>
      </w:r>
    </w:p>
    <w:p>
      <w:r>
        <w:t>Die Vorinstanz bejahte eine unbefugte Namensanmassung der Beschwerdeführerin durch Verwendung des Wortzeichens "RiverLake Capital" für ihre Dienstleistungen. Die Beschwerdeführerin wirft ihr in diesem Zusammenhang eine bundesrechtswidrige Anwendung von Art. 29 ZGB vor.</w:t>
      </w:r>
    </w:p>
    <w:p>
      <w:r>
        <w:rPr>
          <w:b/>
        </w:rPr>
        <w:t>E. 3.1</w:t>
      </w:r>
    </w:p>
    <w:p>
      <w:r>
        <w:t>Ein Anspruch auf Namensschutz gemäss Art. 29 Abs. 2 ZGB setzt voraus, dass die Namensanmassung den Namensträger beeinträchtigt. Eine solche Beeinträchtigung liegt nach bundesgerichtlicher Rechtsprechung namentlich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353 E. 4 S. 358 f., 401 E. 5 S. 403 mit Hinweisen; Urteile 4A_45/2012 vom 12. Juli 2012 E. 4.1; 4C.360/2005 vom 12. Januar 2006 E. 3.1, in: sic! 2006 S. 480; JdT 2007 I 210). Als Namensanmassung wird nicht nur die unberechtigte Verwendung des vollen Namens eines anderen betrachtet, sondern bereits die Übernahme des Hauptbestandteils eines solchen, wenn dies zu einer Verwechslungsgefahr führt ( BGE 128 III 353 E. 4 S. 358; 127 III 33 E. 4; 116 II 463 E. 3b).</w:t>
      </w:r>
    </w:p>
    <w:p>
      <w:r>
        <w:rPr>
          <w:b/>
        </w:rPr>
        <w:t>E. 3.2</w:t>
      </w:r>
    </w:p>
    <w:p>
      <w:r>
        <w:t>Die Beschwerdeführerin zeigt mit ihren Vorbringen keine Bundesrechtsverletzung auf. Zunächst beruft sie sich im Zusammenhang mit den von der Vorinstanz geschützten namensrechtlichen Ansprüchen zu Unrecht auf das Marken- sowie das Lauterkeitsrecht. Zwar trifft zu, dass der</w:t>
      </w:r>
    </w:p>
    <w:p>
      <w:r>
        <w:t>Begriff der Verwechslungsgefahr nach der Rechtsprechung des Bundesgerichts für das gesamte Kennzeichenrecht einheitlich zu umschreiben ist ( BGE 128 III 353 E. 4, 401 E. 5 S. 403; 127 III 33 E. 4, 160 E. 2a S. 165; 127 III 160 E. 2a S. 165). Es geht stets um die Beurteilung, ob ein Zeichen einem anderen derart ähnlich ist, dass die massgebenden Verkehrskreise Gefahr laufen, die gekennzeichneten Gegenstände zu verwechseln oder falsche Zusammenhänge zu vermuten ( BGE 134 I 83 E. 4.2.3 S. 90). Wie die Beschwerdegegnerinnen zutreffend einwenden, darf dies jedoch nicht darüber hinwegtäuschen, dass die Grenze des Sperrbereichs eines Kennzeichens nach den Besonderheiten der jeweiligen Anspruchsgrundlage bestimmt werden muss (vgl. EUGEN MARBACH, Markenrecht, SIWR Bd. III/1, 2. Aufl. 2009, Rz. 974). Ob eine Verwechslungsgefahr besteht, kann daher immer nur mit Bezug zu einem konkreten beeinträchtigten Anspruch beurteilt werden. Die Umstände, welche die Gefahr falscher Individualisierung oder falscher Assoziationen beeinflussen, unterscheiden sich je nach Anspruchsgrundlage ( BGE 134 I 83 E. 4.2.3 S. 90 mit Beispielen).</w:t>
      </w:r>
    </w:p>
    <w:p>
      <w:r>
        <w:t>Soweit sich die Ausführungen in der Beschwerdeschrift überhaupt auf das Namensrecht beziehen, setzen sie sich nicht mit den eingehenden Erwägungen im angefochtenen Entscheid auseinander und zeigen auf, inwiefern die Vorinstanz mit ihrer Beurteilung namensrechtliche Grundsätze verletzt hätte. So geht die Beschwerdeführerin etwa nicht auf die Begründung der Vorinstanz ein, die den Einwand der behaupteten sachlichen und örtlichen Distanz der Tätigkeit der Parteien angesichts der von ihr festgestellten Überschneidungen der Tätigkeitsgebiete nicht gelten liess. Im Übrigen kritisiert die Beschwerdeführerin die vorinstanzliche Feststellung, wonach sich die Tätigkeit der Beschwerdegegnerinnen auf das gesamte Gebiet der Schweiz bezieht, erhebt jedoch in diesem Zusammenhang ebenfalls keine hinreichende Sachverhaltsrüge. Auch mit der allgemein gehaltenen Behauptung, es seien "im Namensrecht die tatsächlichen örtlichen und branchenspezifischen Unterschiede [...] einzubeziehen, was vorliegend nicht erfolgte", zeigt sie keine konkrete Bundesrechtsverletzung auf.</w:t>
      </w:r>
    </w:p>
    <w:p>
      <w:r>
        <w:t>Eine Verletzung von Art. 29 Abs. 2 ZGB ist nicht dargetan.</w:t>
      </w:r>
    </w:p>
    <w:p>
      <w:r>
        <w:rPr>
          <w:b/>
        </w:rPr>
        <w:t>E. 4</w:t>
      </w:r>
    </w:p>
    <w:p>
      <w:r>
        <w:t>Im Zusammenhang mit der von der Vorinstanz ausgesprochenen Anordnung, den Domainnamen www.riverlakecapital.com binnen 30 Tagen seit Rechtskraft des Urteils auf die Riverlake Group SA übertragen zu lassen, setzt sich die Beschwerdeführerin nicht mit den Erwägungen im angefochtenen Entscheid auseinander. Sie bringt einzig vor, bei der Internetadresse www.riverlakecapital.com handle es sich um einen Domainnamen mit der Top-Level-Domain ".com", die durch die Vergabestelle Verisign Inc., ein US-amerikanisches Unternehmen mit Sitz in Virginia, betrieben werde. Die Vorinstanz masse sich mit dem ausgesprochenen Verbot an, einen Entscheid zu treffen, der weltweit Geltung erlange und nicht nur auf dem Territorium der Schweiz; das Gericht habe aber keine Entscheidungsbefugnis für eine allfällige Verwendung etwa in den USA. Eine ".com"-Adresse richte sich bekanntermassen nicht unmittelbar an die Schweizer Bevölkerung, sodass es der Beschwerdeführerin weiterhin möglich sein müsse, den Domainnamen weltweit benutzen zu dürfen.</w:t>
      </w:r>
    </w:p>
    <w:p>
      <w:r>
        <w:t>Die Beschwerdegegnerinnen halten dem zu Recht entgegen, dass Webseiten unter ".com"-Domains unbestrittenermassen in der Schweiz abgerufen werden können und sich auch an das Schweizer Publikum richten. Entsprechend ist die Vorinstanz zutreffend von einer rechtlich relevanten Interessenkollision in der Schweiz ausgegangen. Zudem ist die Ausschliesslichkeit des Gebrauchs einer Domain technischer Natur, weshalb die Sperrwirkung weder in örtlicher noch in sachlicher Hinsicht begrenzt werden kann (UELI BURI, Domain-Namen, in: Schweizerisches Immaterialgüter- und Wettbewerbsrecht, SIWR Bd. III/2, 2. Aufl. 2005, S. 352). Inwiefern die von der Vorinstanz getroffene Anordnung betreffend den Domainnamen www.riverlakecapital.com unverhältnismässig sein soll, legt die Beschwerdeführerin nicht dar. Ebenso wenig stellt sie die Anspruchsgrundlage für eine Übertragung des Domainnamens in Frage (dazu Urteile 4A_39/2011 vom 8. August 2011 E. 9; 4C.341/2005 vom 6. März 2007 E. 5.5; 4C.9/2002 vom 23. Juli 2002 E. 8, nicht publ. in BGE 128 III 401 ).</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