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4A_590/2016 vom 26. Januar 2017</w:t>
      </w:r>
    </w:p>
    <w:p>
      <w:r>
        <w:t>Bundesgericht, 2017-01-26, FR</w:t>
      </w:r>
    </w:p>
    <w:p>
      <w:r>
        <w:rPr>
          <w:b/>
        </w:rPr>
        <w:t xml:space="preserve">Quelle: </w:t>
      </w:r>
      <w:r>
        <w:t>https://mcp.opencaselaw.ch/entscheid/bger_4A_590_2016</w:t>
      </w:r>
    </w:p>
    <w:p>
      <w:r>
        <w:t>FR: TF 4A_590/2016 du 26 janvier 2017</w:t>
      </w:r>
    </w:p>
    <w:p>
      <w:r>
        <w:t>IT: TF 4A_590/2016 del 26 gennaio 2017</w:t>
      </w:r>
    </w:p>
    <w:p>
      <w:pPr>
        <w:pStyle w:val="Heading2"/>
      </w:pPr>
      <w:r>
        <w:t>Erwägungen</w:t>
      </w:r>
    </w:p>
    <w:p>
      <w:r>
        <w:rPr>
          <w:b/>
        </w:rPr>
        <w:t>E. 1.1</w:t>
      </w:r>
    </w:p>
    <w:p>
      <w:r>
        <w:t>Interjeté en temps utile ( art. 100 al. 1 LTF ) par la défenderesse qui a succombé partiellement dans ses conclusions libératoires ( art. 76 al. 1 LTF ) et dirigé contre une décision finale ( art. 90 LTF ) prise sur recours par le tribunal supérieur du canton ( art. 75 LTF ) dans une contestation du contrat de travail (objet de la créance) dont la valeur litigieuse est supérieure à 15'000 fr. (art. 72 al. 1 et 74 al. 1 let. a LTF), le recours en matière civile est recevable au regard de ces dispositions.</w:t>
      </w:r>
    </w:p>
    <w:p>
      <w:r>
        <w:rPr>
          <w:b/>
        </w:rPr>
        <w:t>E. 1.2</w:t>
      </w:r>
    </w:p>
    <w:p>
      <w:r>
        <w:t>Saisi d'un recours en matière civile, le Tribunal fédéral applique le droit d'office ( art. 106 al. 1 LTF ), sauf en ce qui concerne la violation des droits constitutionnels ( art. 106 al. 2 LTF ). Il n'est pas lié par l'argumentation juridique développée par les parties ou par l'autorité précédente; il peut admettre le recours, comme il peut le rejeter en procédant à une substitution de motifs ( ATF 135 III 397 consid. 1. 4).</w:t>
      </w:r>
    </w:p>
    <w:p>
      <w:r>
        <w:rPr>
          <w:b/>
        </w:rPr>
        <w:t>E. 2</w:t>
      </w:r>
    </w:p>
    <w:p>
      <w:r>
        <w:t>L'employeuse défenderesse a contesté dans sa réponse de première instance la qualité pour agir (légitimation active) de la demanderesse cessionnaire. La cour cantonale l'a admise, après avoir examiné les griefs soulevés à ce propos. L'intimée au recours en matière civile au Tribunal fédéral invoque essentiellement l'abus de droit que commet la défenderesse en soulevant le défaut de sa qualité pour agir.</w:t>
      </w:r>
    </w:p>
    <w:p>
      <w:r>
        <w:rPr>
          <w:b/>
        </w:rPr>
        <w:t>E. 2.1</w:t>
      </w:r>
    </w:p>
    <w:p>
      <w:r>
        <w:t>Le principe de la bonne foi ( art. 2 al. 1 CC ) et l'interdiction de l'abus de droit ( art. 2 al. 2 CC ) sont des principes fondamentaux de l'ordre juridique suisse ( art. 5 al. 3 Cst. ). Ils s'appliquent aussi en procédure civile ( ATF 132 I 249 consid. 5 p. 252; 128 III 201 consid. 1c p. 206; 123 III 220 consid. 4d p. 228 s.). Le principe de la bonne foi est désormais codifié pour la procédure civile à l' art. 52 CPC , de sorte que sa violation constitue depuis lors une violation du droit fédéral ( art. 95 let. a LTF ). Il s'adresse à tous les participants au procès, parties et juge. Il leur impose d'agir de bonne foi et, partant, de ne pas commettre d'abus de droit ( ATF 132 I 249 , ibidem).</w:t>
      </w:r>
    </w:p>
    <w:p>
      <w:r>
        <w:t>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w:t>
      </w:r>
    </w:p>
    <w:p>
      <w:r>
        <w:t>venire contra factum proprium, qui constitue un abus de droit (HENRI DESCHENAUX, le Titre préliminaire du Code civil, in Traité de droit privé suisse, tome II/1, Fribourg 1969, p. 172). Ainsi, lorsqu'une partie admet les limites de son fonds et, partant, la propriété de la partie adverse sur un terrain, elle ne peut pas, dans un procès ultérieur, prétendre être propriétaire de ce terrain: c'est un</w:t>
      </w:r>
    </w:p>
    <w:p>
      <w:r>
        <w:t>venire contra factum proprium qui constitue un abus de droit, car la partie adverse pouvait compter que cette partie n'abandonnerait pas la position qu'elle avait prise antérieurement en connaissance de cause (DESCHENAUX, op. cit., p. 172 en bas). La prétention de cette partie ne mérite pas la protection du droit ( ATF 89 II 287 consid.5 p. 299 s.).</w:t>
      </w:r>
    </w:p>
    <w:p>
      <w:r>
        <w:rPr>
          <w:b/>
        </w:rPr>
        <w:t>E. 2.2</w:t>
      </w:r>
    </w:p>
    <w:p>
      <w:r>
        <w:t>En l'espèce, la créance qui est l'objet de la procédure est une créance de salaire et accessoires d'un employé contre son ancienne employeuse.</w:t>
      </w:r>
    </w:p>
    <w:p>
      <w:r>
        <w:t>Dans le premier procès, intenté par l'employé lui-même et mené jusqu'au Tribunal fédéral, l'employeuse a contesté la qualité pour agir de l'employé, car celui-ci avait cédé sa créance à sa mandataire en cours de procédure de première instance. La Cour de justice et, à sa suite, le Tribunal fédéral ont donc jugé que la mandataire était titulaire de la créance en raison de la cession que l'employé lui en avait faite et ont donc rejeté l'action de celui-ci.</w:t>
      </w:r>
    </w:p>
    <w:p>
      <w:r>
        <w:t>Dans le second procès, intenté par la mandataire cessionnaire, l'employeuse a contesté la qualité pour agir de la mandataire au motif que la cession de la créance serait nulle.</w:t>
      </w:r>
    </w:p>
    <w:p>
      <w:r>
        <w:t>Ce faisant, l'employeuse défenderesse a adopté un comportement contradictoire: après avoir admis la cession à la mandataire dans le premier procès, elle a soutenu que cette cession serait nulle. Un tel comportement ne mérite aucune protection juridique. Il s'agit d'un</w:t>
      </w:r>
    </w:p>
    <w:p>
      <w:r>
        <w:t>venire contra factum proprium , qui constitue un abus de droit.</w:t>
      </w:r>
    </w:p>
    <w:p>
      <w:r>
        <w:t>Le fait que le cédant et la cessionnaire aient à nouveau formalisé la cession après la reddition du premier arrêt du Tribunal fédéral n'y change rien: il ne s'agit pas vraiment de deux cessions de créances " distinctes ".</w:t>
      </w:r>
    </w:p>
    <w:p>
      <w:r>
        <w:t>Le recours en matière civile doit donc être rejeté sur le point de la qualité pour agir, par substitution de motifs, en application des art. 52 CPC et 2 al. 2 CC.</w:t>
      </w:r>
    </w:p>
    <w:p>
      <w:r>
        <w:t>Il s'ensuit qu'il n'y a pas lieu d'examiner les prétendues violations des art. 20 et 164 CO , ni les griefs de fait soulevés par la recourante.</w:t>
      </w:r>
    </w:p>
    <w:p>
      <w:r>
        <w:rPr>
          <w:b/>
        </w:rPr>
        <w:t>E. 3</w:t>
      </w:r>
    </w:p>
    <w:p>
      <w:r>
        <w:t>En ce qui concerne le montant de la créance de salaire et accessoires, la recourante invoque la transgression des art. 322 al. 1 et 120 al. 1 CO.</w:t>
      </w:r>
    </w:p>
    <w:p>
      <w:r>
        <w:rPr>
          <w:b/>
        </w:rPr>
        <w:t>E. 3.1</w:t>
      </w:r>
    </w:p>
    <w:p>
      <w:r>
        <w:t>En tant qu'elle soutient qu'il aurait fallu " déduire un montant de 100 fr. journellement, ainsi que l'a reconnu A.________ " du solde du salaire dû de 52'500 fr. la recourante se fonde sur un prétendu aveu judiciaire, non constaté dans l'arrêt attaqué. Or, rien ne peut être déduit dans ce sens de l'allégué n° 71 de son appel du 4 janvier 2016 en relation avec le procès-verbal de l'audience du 21 février 2011, p. 2, dont on tire uniquement que le salaire prévu - mais non celui effectivement perçu - devait être de 100 fr. par jour. Le grief de violation de l' art. 322 al. 1 CO est ainsi infondé.</w:t>
      </w:r>
    </w:p>
    <w:p>
      <w:r>
        <w:rPr>
          <w:b/>
        </w:rPr>
        <w:t>E. 3.2</w:t>
      </w:r>
    </w:p>
    <w:p>
      <w:r>
        <w:t>Dans la mesure où la recourante entend fonder sa prétendue créance opposée en compensation sur l'acte illicite qu'aurait commis l'employé en lui dissimulant fautivement dans la première procédure la cession intervenue en février, puis en juillet 2011, elle méconnaît que cet éventuel comportement procédural illicite de l'employé devait donner lieu à réparation par le biais des dépens de la première procédure et qu'il ne pouvait en aucun cas justifier une créance séparée fondée sur l' art. 41 CO . On ne discerne aucune violation de l' art. 120 al. 1 CO .</w:t>
      </w:r>
    </w:p>
    <w:p>
      <w:r>
        <w:rPr>
          <w:b/>
        </w:rPr>
        <w:t>E. 4</w:t>
      </w:r>
    </w:p>
    <w:p>
      <w:r>
        <w:t>Il suit de là que le recours doit être rejeté, aux frais de son auteur ( art. 66 al. 1 LTF ). La recourante sera également condamnée à payer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