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58/2018 vom 28. August 2018</w:t>
      </w:r>
    </w:p>
    <w:p>
      <w:r>
        <w:t>Bundesgericht, 2018-08-28, FR</w:t>
      </w:r>
    </w:p>
    <w:p>
      <w:r>
        <w:rPr>
          <w:b/>
        </w:rPr>
        <w:t xml:space="preserve">Quelle: </w:t>
      </w:r>
      <w:r>
        <w:t>https://mcp.opencaselaw.ch/entscheid/bger_4A_58_2018</w:t>
      </w:r>
    </w:p>
    <w:p>
      <w:r>
        <w:t>FR: TF 4A 58/2018 du 28 août 2018</w:t>
      </w:r>
    </w:p>
    <w:p>
      <w:r>
        <w:t>IT: TF 4A 58/2018 del 28 agosto 2018</w:t>
      </w:r>
    </w:p>
    <w:p>
      <w:pPr>
        <w:pStyle w:val="Heading2"/>
      </w:pPr>
      <w:r>
        <w:t>Regeste</w:t>
      </w:r>
    </w:p>
    <w:p>
      <w:r>
        <w:t>contrat de travail; rémunération en actions; interprétation du contrat | Droit des contrats</w:t>
      </w:r>
    </w:p>
    <w:p>
      <w:pPr>
        <w:pStyle w:val="Heading2"/>
      </w:pPr>
      <w:r>
        <w:t>Erwägungen</w:t>
      </w:r>
    </w:p>
    <w:p>
      <w:r>
        <w:rPr>
          <w:b/>
        </w:rPr>
        <w:t>E. 1</w:t>
      </w:r>
    </w:p>
    <w:p>
      <w:r>
        <w:t>Interjeté en temps utile, compte tenu des féries de Noël (art. 100 al. 1 et 46 al. 1 let. c LTF), par l'employé qui a succombé partiellement dans ses conclusions en paiement ( art. 76 al. 1 LTF ), contre une décision finale rendue sur appel par le tribunal supérieur du canton de Genève ( art. 75 LTF ), dans une affaire de contrat de travail ( art. 72 al. 1 LTF ), dont la valeur litigieuse dépasse 15'000 fr. ( art. 74 al. 1 let. a LTF ), le recours en matière civile est recevable au regard de ces dispositions.</w:t>
      </w:r>
    </w:p>
    <w:p>
      <w:r>
        <w:rPr>
          <w:b/>
        </w:rPr>
        <w:t>E. 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w:t>
      </w:r>
    </w:p>
    <w:p>
      <w:r>
        <w:rPr>
          <w:b/>
        </w:rPr>
        <w:t>E. 3</w:t>
      </w:r>
    </w:p>
    <w:p>
      <w:r>
        <w:t>La cour cantonale, à la suite des juges de première instance, a considéré que l'octroi de Restricted Stock Units , à savoir d'actions de la société-mère américaine ne faisait pas partie de la rémunération de l'employé convenue par les parties. L'employé recourant lui reproche d'avoir interprété arbitrairement la volonté réelle des parties ( art. 97 al. 1 LTF ) et d'avoir violé le principe de la confiance dans l'interprétation du contrat. En bref, même si le contrat écrit du 31 mars 2011 ne fait pas état de sa rémunération en actions, celle-ci a fait l'objet de discussions précontractuelles, qui ont abouti à un accord oral à ce sujet.</w:t>
      </w:r>
    </w:p>
    <w:p>
      <w:r>
        <w:rPr>
          <w:b/>
        </w:rPr>
        <w:t>E. 3.1</w:t>
      </w:r>
    </w:p>
    <w:p>
      <w:r>
        <w:t>Aux termes de l' art. 18 al. 1 CO , pour apprécier la forme et les clauses d'un contrat, il y a lieu de rechercher la réelle et commune intention des parties, sans s'arrêter aux expressions ou dénominations inexactes dont elles ont pu se servir, soit par erreur, soit pour déguiser la véritable nature de la convention. Pour déterminer le contenu d'un contrat,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et 5.2.3; ATF 132 III 268 consid. 2.3.2, 626 consid. 3.1 p. 632; 131 III 606 consid. 4.1).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5.2.2 et 5.2.3). Il n'y a pas place ici pour une application de la règle sur le fardeau de la preuve de l' art. 8 CC , car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ATF 144 III 93 consid. 5.2.2 et 5.2.3; arrêt cité 4A_463/2017 du 4 mai 2018 consid. 4.1). L' art. 8 CC ne joue de rôle que dans l'établissement des circonstances concrètes nécessaires pour l'interprétation de la volonté des parties (subjective ou objective) (arrêts 4A_463/2017 précité consid. 4.1; 4A_290/2017 du 12 mars 2018 consid. 5.1; 4A_635/2016 du 22 janvier 2018 consid. 5.1.1).</w:t>
      </w:r>
    </w:p>
    <w:p>
      <w:r>
        <w:rPr>
          <w:b/>
        </w:rPr>
        <w:t>E. 3.2</w:t>
      </w:r>
    </w:p>
    <w:p>
      <w:r>
        <w:t>Il ressort de cette jurisprudence que le juge doit commencer par rechercher la volonté réelle des parties. S'il n'arrive pas à la déterminer - ni dans le sens de la conclusion du contrat, ni dans le sens de la non-conclusion de celui-ci - il ne peut pas appliquer la règle générale sur le fardeau de la preuve de l' art. 8 CC et mettre l'échec de la preuve à la charge du demandeur. Il doit alors faire application du principe de la confiance et déterminer si un contrat doit être tenu pour conclu en vertu des règles de la bonne foi.</w:t>
      </w:r>
    </w:p>
    <w:p>
      <w:r>
        <w:rPr>
          <w:b/>
        </w:rPr>
        <w:t>E. 3.3</w:t>
      </w:r>
    </w:p>
    <w:p>
      <w:r>
        <w:t>Méconnaissant le sens de cette jurisprudence, la cour cantonale a adopté une double motivation, l'une principale et l'autre subsidiaire. Tout d'abord, recherchant la volonté subjective des parties, elle a considéré que la thèse de l'employé selon laquelle il avait compris que les actions de la société-mère lui étaient octroyées dès le début de son engagement et que la période de blocage commençait à courir dès ce moment-là, n'était pas confirmée par le dossier. Il résultait de son comportement postérieur à la conclusion du contrat qu'il était conscient que les actions de la société-mère ne faisaient pas partie de son salaire: au début de l'année 2012, il avait demandé à son recruteur s'il pouvait bénéficier d'actions de la société-mère même s'il était domicilié en Suisse et celui-ci lui a répondu par la négative, puis en septembre 2012, il a reposé la même question au Lead Counsel du département de droit du travail de la société-mère qui lui a également répondu par la négative, précisant que la période de blocage des actions ne commencerait à courir qu'à partir de leur octroi; l'employé avait alors répondu qu'il était familier avec les termes de son contrat et avait demandé si ce dernier pouvait être modifié, ce qui lui avait été refusé, aucune suite n'ayant été donnée à sa demande. Puis, limitant son examen à l'hypothèse selon laquelle l'employé aurait réellement compris que la période de blocage avait commencé à courir dès son engagement (" même si l'appelant avait réellement compris... "), la cour cantonale a curieusement encore recherché la volonté réelle de l'employeuse. Elle a constaté que celle-ci ne voulait accorder des bonus sous forme d'actions à l'employé qu'à la condition que celui-ci déménage aux États-Unis où elle avait son siège. Elle a retenu que le but visé était que l'employé vienne s'installer aux États-Unis avec sa famille et que, dans la mesure où il ne pouvait pas obtenir de visa à brève échéance et qu'aucune filiale n'existait en Suisse, il avait été engagé temporairement par la filiale allemande et que cela permettait de faire courir le délai de 13 mois nécessaire à l'obtention d'un visa permettant le transfert intra-entreprise. Elle a constaté que la rémunération de l'employé, y compris en actions, avait fait l'objet de discussions au sein du groupe et que le responsable des rémunérations pour l'Europe avait suggéré de lui offrir un salaire proche du marché tant qu'il vivrait en Suisse et de lui indiquer que lorsqu'il déménagerait aux États-Unis, il recevrait des actions de la société-mère. Le recruteur de l'employé savait donc que la rémunération offerte n'incluait pas d'actions de la société-mère et que c'était uniquement lorsque l'employé s'installerait aux États-Unis qu'il pourrait y prétendre. La cour cantonale a ensuite écarté les quatre arguments du demandeur par lesquels celui-ci tentait de démontrer que le recruteur, en particulier, aurait été confus et ignorant des conditions de l'octroi des actions de la société-mère, considérant que ceux-ci ne changeaient rien à son appréciation. Concernant l'argument tiré du courrier du 7 février 2012, la cour cantonale a considéré que le fait que le recruteur ait parlé des actions de l'employé en utilisant un adjectif possessif (" his shares ") est sans pertinence. En effet, le nombre d'actions auxquelles l'employé pourrait prétendre une fois employé par la maison-mère américaine, aux États-Unis, soit 23'000 actions, avait déjà été déterminé lors de son engagement. Même s'il était usuel pour les employés du groupe de bénéficier de rémunération en actions, l'employé se trouvait dans une situation particulière puisque, n'étant pas domicilié dans le pays dans lequel la société-mère avait son siège, il devait déménager aux États-Unis pour en bénéficier. Dans cette hypothèse limitée à la période de blocage, la cour cantonale a conclu que la volonté des parties divergeait et, curieusement, qu'il y avait encore lieu d'interpréter le contrat selon le principe de la confiance.</w:t>
      </w:r>
    </w:p>
    <w:p>
      <w:r>
        <w:rPr>
          <w:b/>
        </w:rPr>
        <w:t>E. 3.4</w:t>
      </w:r>
    </w:p>
    <w:p>
      <w:r>
        <w:t>En dépit de sa présentation non conforme à la jurisprudence, il résulte clairement de cette motivation que la cour cantonale est parvenue à déterminer la volonté réelle et commune des parties, en ce sens qu'il n'y avait pas d'accord sur l'octroi d'actions de la société-mère tant que l'employé serait domicilié en Suisse. L'employé recourant ne s'en prend ni à la constatation selon laquelle il avait conscience et avait compris cela à la suite de ses deux demandes du début de l'année 2012 et de septembre 2012, auxquelles il avait été répondu par la négative, et du refus de sa demande de modification de son contrat. Il ne s'en prend pas non plus à la constatation de la volonté réelle de l'employeuse. En effet, il se limite à reprendre un des arguments qu'il avait soulevés - celui concernant le courriel du 7 février 2012 - et dont la cour avait jugé qu'il ne changeait rien à son appréciation de la volonté de l'employeuse: il en fait une lecture littérale pour en déduire que le recruteur aurait eu la volonté de lui verser une partie de sa rémunération sous forme d'actions de la société-mère. Or, la cour cantonale a retenu que le recruteur avait reçu instruction par courriel du 9 mars 2011 d'indiquer à l'employé qu'il recevrait des actions de la société-mère lorsqu'il déménagerait aux États-Unis, ce que celui-ci ne conteste pas. Cet unique grief du recourant ne suffit dès lors pas à démontrer l'arbitraire de la constatation de la volonté réelle du recruteur et de l'employeuse et, partant, de la volonté réelle et commune des parties effectuée par la cour cantonale. La volonté réelle des parties étant établie, dans le sens d'une absence d'accord sur l'octroi d'actions dès le début de l'engagement de l'employé, il est exclu de procéder à l'interprétation du contrat selon le principe de la confiance. Les griefs du recourant à cet égard sont donc irrecevables.</w:t>
      </w:r>
    </w:p>
    <w:p>
      <w:r>
        <w:rPr>
          <w:b/>
        </w:rPr>
        <w:t>E. 3.5</w:t>
      </w:r>
    </w:p>
    <w:p>
      <w:r>
        <w:t>Il en va de même des autres griefs du recourant (i.e. l'absence d'examen de la licéité de différer l'octroi des actions de la société-mère et de les conditionner au déménagement de l'employé aux États-Unis en violation de plusieurs dispositions du CO), qui tous présupposent un accord contractuel sur un tel versement, lequel n'a justement pas été établi. Quant au grief du défaut de sa qualité pour défendre que reprend l'intimée dans sa réponse au recours, on peut se dispenser de l'examiner vu le sort du recours.</w:t>
      </w:r>
    </w:p>
    <w:p>
      <w:r>
        <w:rPr>
          <w:b/>
        </w:rPr>
        <w:t>E. 4</w:t>
      </w:r>
    </w:p>
    <w:p>
      <w:r>
        <w:t>Le recours doit donc être rejeté dans la mesure où il est recevable. Les frais et dépens de la procédure fédérale doivent ainsi être mis à la charge du recourant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