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4A_58/2011 vom 17. Juni 2011</w:t>
      </w:r>
    </w:p>
    <w:p>
      <w:r>
        <w:t>Bundesgericht, 2011-06-17, FR</w:t>
      </w:r>
    </w:p>
    <w:p>
      <w:r>
        <w:rPr>
          <w:b/>
        </w:rPr>
        <w:t xml:space="preserve">Quelle: </w:t>
      </w:r>
      <w:r>
        <w:t>https://mcp.opencaselaw.ch/entscheid/bger_4A_58_2011</w:t>
      </w:r>
    </w:p>
    <w:p>
      <w:r>
        <w:t>FR: TF 4A_58/2011 du 17 juin 2011</w:t>
      </w:r>
    </w:p>
    <w:p>
      <w:r>
        <w:t>IT: TF 4A_58/2011 del 17 giugno 2011</w:t>
      </w:r>
    </w:p>
    <w:p>
      <w:pPr>
        <w:pStyle w:val="Heading2"/>
      </w:pPr>
      <w:r>
        <w:t>Erwägungen</w:t>
      </w:r>
    </w:p>
    <w:p>
      <w:r>
        <w:rPr>
          <w:b/>
        </w:rPr>
        <w:t>E. 1.1</w:t>
      </w:r>
    </w:p>
    <w:p>
      <w:r>
        <w:t>Les deux demandes (celle de F.Y.________ et H.Y.________ d'une part et celle de Z.________ d'autre part) ne s'excluent pas l'une l'autre. En raison de leur connexité évidente, elles ont été jointes et ont donné lieu à un seul et même arrêt, de sorte que l'on se trouve en présence d'une consorité simple. Dans un tel cas, les conclusions prises en dernière instance cantonale - qui étaient entièrement litigieuses - doivent être additionnées ( art. 52 LTF ; JEAN-MAURICE FRÉSARD, in Commentaire de la LTF, 2009, nos 14 s. ad art. 52 LTF ). Il en résulte que la valeur litigieuse de 30'000 fr. requise par l' art. 74 al. 1 let. b LTF , pour ouvrir la voie du recours en matière civile, est atteinte.</w:t>
      </w:r>
    </w:p>
    <w:p>
      <w:r>
        <w:t>Interjeté par la partie qui a succombé dans ses conclusions libératoires et qui a donc qualité pour recourir ( art. 76 al. 1 LTF ), dirigé contre un arrêt final ( art. 90 LTF ) rendu en matière civile ( art. 72 al. 1 LTF ) par une autorité cantonale de dernière instance statuant sur recours ( art. 75 LTF ), le recours en matière civile est en principe recevable, puisqu'il a été déposé dans le délai ( art. 46 al. 1 let . c, 48 al. 1 et 100 al. 1 LTF) et la forme ( art. 42 LTF ) prévus par la loi.</w:t>
      </w:r>
    </w:p>
    <w:p>
      <w:r>
        <w:rPr>
          <w:b/>
        </w:rPr>
        <w:t>E. 1.2</w:t>
      </w:r>
    </w:p>
    <w:p>
      <w:r>
        <w:t>Le recours peut être interjeté pour violation du droit, tel qu'il est délimité par les art. 95 et 96 LTF . Il peut donc également être formé pour violation d'un droit constitutionnel ( ATF 136 I 241 consid. 2.1 p. 247; 136 II 304 consid. 2.4 p. 313).</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 397 consid. 1.4).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 145 consid. 8.1 p. 153; 135 III 127 consid. 1.5 p. 300, 397 consid. 1.5 p. 401 -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du litige ( art. 97 al. 1 LTF ). Aucun fait nouveau, ni preuve nouvelle ne peut être présenté, à moins de résulter de la décision de l'autorité précédente ( art. 99 al. 1 LTF ).</w:t>
      </w:r>
    </w:p>
    <w:p>
      <w:r>
        <w:t>En l'espèce, le recourant présente son propre état de fait, mais dès lors qu'il n'invoque, dans cette partie de son écriture, aucune des circonstances prévues par l' art. 105 al. 2 LTF , il n'y a pas lieu d'en tenir compte et le raisonnement doit être conduit sur la base de l'état de fait figurant dans l'arrêt cantonal.</w:t>
      </w:r>
    </w:p>
    <w:p>
      <w:r>
        <w:rPr>
          <w:b/>
        </w:rPr>
        <w:t>E. 1.4</w:t>
      </w:r>
    </w:p>
    <w:p>
      <w:r>
        <w:t>Le Tribunal fédéral ne peut aller au-delà des conclusions des parties ( art. 107 al. 1 LTF ). Toute conclusion nouvelle est irrecevable ( art. 99 al. 2 LTF ). S'il admet le recours, le Tribunal fédéral peut statuer lui-même sur le fond ou renvoyer l'affaire à l'autorité précédente pour qu'elle prenne une nouvelle décision ( art. 107 al. 2 LTF ).</w:t>
      </w:r>
    </w:p>
    <w:p>
      <w:r>
        <w:rPr>
          <w:b/>
        </w:rPr>
        <w:t>E. 2.1</w:t>
      </w:r>
    </w:p>
    <w:p>
      <w:r>
        <w:t>Les deux demandes qui ont été jointes tendent à une réduction du prix de vente sur la base de l' art. 205 al. 1 CO . Invoquant les contrats de vente qu'elles ont conclus pour acquérir leur part de copropriété par étages ( art. 712a ss CC ), les parties demanderesses se placent donc sur le terrain de la garantie en raison des défauts due par le vendeur ( art. 197 al. 1 CO ).</w:t>
      </w:r>
    </w:p>
    <w:p>
      <w:r>
        <w:t>Par définition, cette garantie (et par voie de conséquence la réduction du prix) est due par le vendeur dans le cadre du contrat de vente conclu ( art. 184 al. 1 CO ).</w:t>
      </w:r>
    </w:p>
    <w:p>
      <w:r>
        <w:t>Il faut donc déterminer qui est le vendeur dans les contrats conclus avec les intimés le 24 avril 1996. S'agissant de ventes immobilières, l'acte authentique, requis par l' art. 216 al. 1 CO , doit en principe l'exprimer avec toute la clarté nécessaire.</w:t>
      </w:r>
    </w:p>
    <w:p>
      <w:r>
        <w:t>Dans l'hypothèse où les demandes seraient dirigées contre un tiers, qui n'est pas tenu à la garantie des défauts, elles ne pourraient qu'être rejetées (pour défaut de légitimation passive; cf. ATF 126 III 59 consid. 1a p. 63; 125 III 82 consid. 1a p. 83 s.).</w:t>
      </w:r>
    </w:p>
    <w:p>
      <w:r>
        <w:rPr>
          <w:b/>
        </w:rPr>
        <w:t>E. 2.2</w:t>
      </w:r>
    </w:p>
    <w:p>
      <w:r>
        <w:t>Il ressort des faits établis par l'autorité précédente - qui lient le Tribunal fédéral ( art. 105 al. 1 LTF ) - que les deux actes authentiques du 24 avril 1996 désignent comme partie venderesse la société A.________ SA.</w:t>
      </w:r>
    </w:p>
    <w:p>
      <w:r>
        <w:t>Cette désignation est parfaitement logique, puisqu'il résulte des constatations cantonales que cette société était propriétaire de l'immeuble et que c'était donc elle qui avait créé des parts de copropriété par étages qui ont été mises en vente.</w:t>
      </w:r>
    </w:p>
    <w:p>
      <w:r>
        <w:t>Aucune des constatations cantonales ne permet d'imaginer que les parties, au moment de la conclusion des contrats le 24 avril 1996, avaient en vue un autre vendeur que la société A.________ SA.</w:t>
      </w:r>
    </w:p>
    <w:p>
      <w:r>
        <w:t>Les contrats conclus désignent clairement celle-ci comme la venderesse et aucun élément du dossier ne permet de penser que cela ne correspond pas à la volonté réelle des parties. Il n'est donc pas nécessaire de faire ici de longs développements sur l'interprétation des manifestations de volonté. La situation est parfaitement limpide : la partie venderesse est la société A.________ SA.</w:t>
      </w:r>
    </w:p>
    <w:p>
      <w:r>
        <w:rPr>
          <w:b/>
        </w:rPr>
        <w:t>E. 2.3</w:t>
      </w:r>
    </w:p>
    <w:p>
      <w:r>
        <w:t>On ne comprend dès lors pas pourquoi les demandeurs se prévalent de la garantie des défauts à l'égard d'une tierce personne, à savoir le recourant.</w:t>
      </w:r>
    </w:p>
    <w:p>
      <w:r>
        <w:t>Il est vrai que celui-ci était l'administrateur unique de la société, mais l'administrateur ne peut pas être confondu avec la société cocontractante. Il faut relever ici que les demandeurs n'ont pas prétendu que l'administrateur aurait commis, à leur préjudice, un acte illicite au sens de l' art. 41 CO qui leur aurait causé un dommage direct dont ils pourraient demander réparation sur la base de l' art. 754 al. 1 CO .</w:t>
      </w:r>
    </w:p>
    <w:p>
      <w:r>
        <w:t>Il est vrai aussi que le recourant était l'un des deux actionnaires de la société. Il faut cependant rappeler que la société anonyme constitue une personne morale distincte de ses membres et que les actionnaires ne sont pas personnellement responsables des dettes sociales (arrêt 4C.455/1995 du 28 mai 1996 consid. 6 non publié in ATF 122 III 195 ).</w:t>
      </w:r>
    </w:p>
    <w:p>
      <w:r>
        <w:t>La véritable raison pour laquelle les demandes ont été dirigées contre le recourant tient probablement au fait que la société A.________ SA avait été radiée du registre du commerce. Cette situation n'empêchait cependant pas les demandeurs de faire valoir leurs droits. Selon la jurisprudence constante, ils pouvaient en effet requérir la réinscription de la société au registre du commerce ( ATF 132 III 731 consid. 3.2 p. 734; 121 III 324 consid. 1 p. 326). Les problèmes d'infiltration d'eau étant déjà connus, ils auraient aussi pu songer à s'opposer à la radiation (cf. art. 65 al. 1 ORC ). En tout cas, ils ne pouvaient pas, pour éluder la procédure de réinscription, s'en prendre à l'administrateur ou à un actionnaire de leur choix, en lieu et place de la société qui était leur cocontractante.</w:t>
      </w:r>
    </w:p>
    <w:p>
      <w:r>
        <w:rPr>
          <w:b/>
        </w:rPr>
        <w:t>E. 2.4</w:t>
      </w:r>
    </w:p>
    <w:p>
      <w:r>
        <w:t>Pour admettre néanmoins la légitimation passive du recourant, la cour cantonale a cru pouvoir appliquer la théorie de la transparence (en allemand : Durchgriff).</w:t>
      </w:r>
    </w:p>
    <w:p>
      <w:r>
        <w:rPr>
          <w:b/>
        </w:rPr>
        <w:t>E. 2.4.1</w:t>
      </w:r>
    </w:p>
    <w:p>
      <w:r>
        <w:t>Lorsqu'une personne physique fonde une société anonyme, notamment pour exercer le droit de propriété sur un immeuble, il faut considérer en principe qu'il y a deux sujets de droit distincts avec des patrimoines séparés : la personne physique d'une part et la société anonyme d'autre part (arrêt 4C.15/2004 du 12 mai 2004 consid. 5.2). Malgré l'identité économique entre la société et son actionnaire unique, on les traite en principe comme des sujets de droit distincts ( ATF 128 II 329 consid. 2.4 p. 333 et les arrêt cités).</w:t>
      </w:r>
    </w:p>
    <w:p>
      <w:r>
        <w:t>Selon la théorie de la transparence, on ne peut cependant pas s'en tenir dans tous les cas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contourner une interdiction (arrêt 4A_384/2008 du 9 décembre 2008 consid. 4.1 publié in SJ 2009 I p. 424; cf. également : arrêt 5A_175/2010 du 25 mai 2010 consid. 3.3.4; arrêt 4C.15/2004 du 12 mai 2004 consid. 5.2; ATF 112 II 503 consid. 3b p. 506).</w:t>
      </w:r>
    </w:p>
    <w:p>
      <w:r>
        <w:t>L'application du principe de la transparence suppose donc, tout d'abord, qu'il y ait identité des personnes, conformément à la réalité économique, ou, en tout cas, la domination économique d'un sujet de droit sur l'autre. Il faut ensuite que la dualité soit invoquée de manière abusive, c'est-à-dire pour tirer un avantage injustifié (cf. arrêt 4A_384/2008 déjà cité consid. 4.1 et 4.2; arrêt 4C.231/1997 du 15 septembre 1998 consid. 2b).</w:t>
      </w:r>
    </w:p>
    <w:p>
      <w:r>
        <w:rPr>
          <w:b/>
        </w:rPr>
        <w:t>E. 2.4.2</w:t>
      </w:r>
    </w:p>
    <w:p>
      <w:r>
        <w:t>En l'espèce, le capital-actions de la société anonyme était partagé entre le recourant et son épouse. Aucune constatation cantonale ne permet de déduire que l'épouse ne détenait la moitié des actions qu'à titre fiduciaire pour son mari. Rien ne permet d'exclure qu'elle ait fait une mise de fond initiale en 1933. On ne peut pas affirmer non plus qu'elle n'avait aucune intention d'exercer le droit de vote attaché à ses actions, s'agissant tout de même du destin du logement familial. Que l'épouse ne soit jamais apparue auprès des tiers en tant que représentante de la société s'explique sans difficulté par le fait que le mari était l'administrateur unique. On ne peut donc pas affirmer que la société A.________ SA était dans la maîtrise économique du seul recourant, à l'exclusion de son épouse. La première condition pour l'application du principe de la transparence n'est donc pas réalisée.</w:t>
      </w:r>
    </w:p>
    <w:p>
      <w:r>
        <w:t>Il en va de même de la seconde. On ne peut pas imaginer que les époux aient fondé cette société en 1933 en vue de léser les demandeurs et d'en tirer à leur détriment un avantage injustifié. La constitution d'une société immobilière pour exercer le droit de propriété était d'ailleurs courante à l'époque (cf. ATF 128 II 329 consid. 2.4 p. 333). Dès lors que la société anonyme était propriétaire de l'immeuble, c'était à elle qu'il incombait, d'un point de vue juridique, de constituer les parts de copropriétés et de les vendre. On ne discerne à cet égard aucun abus de droit.</w:t>
      </w:r>
    </w:p>
    <w:p>
      <w:r>
        <w:t>La copropriété par étages étant réalisée, les époux n'ont pas vu d'intérêt à conserver la société anonyme pour exercer leur droit de propriété sur leur unité d'étage. On ne perçoit ici aucune forme d'abus de droit.</w:t>
      </w:r>
    </w:p>
    <w:p>
      <w:r>
        <w:t>Sur la base des actes authentiques, les demandeurs pouvaient déterminer sans difficulté qui était la partie venderesse et ils pouvaient exercer leurs droits contre elle. Il est vrai que la radiation de la société les obligeait à une procédure de réinscription. La théorie de la transparence ne doit cependant pas permettre à l'autre partie d'éluder la procédure qu'elle devait suivre.</w:t>
      </w:r>
    </w:p>
    <w:p>
      <w:r>
        <w:t>Il ne résulte pas des constatations cantonales que le recourant aurait adressé aux demandeurs la moindre manifestation de volonté dont on pourrait déduire qu'il acceptait de reprendre la place de la société A.________ SA ou de reprendre son obligation d'assumer la garantie des défauts.</w:t>
      </w:r>
    </w:p>
    <w:p>
      <w:r>
        <w:t>Que le recourant se soit parfois, ou ait été parfois, présenté comme le propriétaire de l'immeuble n'y change rien. Il est fréquent en pratique que l'on s'attache plutôt à la réalité économique, ce qui n'enlève rien à l'existence juridique des sociétés immobilières. Que le recourant ait présenté lui-même une réclamation contre un entrepreneur et passé une transaction avec lui peut procéder d'une mauvaise analyse juridique ou d'un calcul tactique; quoi qu'il en soit, les demandeurs ne peuvent pas en déduire de bonne foi que le recourant leur proposait de se substituer à la société A.________ SA dans les contrats de vente conclus ou d'assumer la garantie des défauts.</w:t>
      </w:r>
    </w:p>
    <w:p>
      <w:r>
        <w:rPr>
          <w:b/>
        </w:rPr>
        <w:t>E. 2.5</w:t>
      </w:r>
    </w:p>
    <w:p>
      <w:r>
        <w:t>Dès lors que le recourant n'était pas le vendeur, qu'il n'était pas non plus son successeur et qu'il n'avait pas repris ses obligations, c'est manifestement à tort que la garantie des défauts a été invoquée contre lui. Dès lors qu'il n'est pas le débiteur, les demandes doivent être rejetées, sans qu'il y ait lieu d'examiner les autres points litigieux.</w:t>
      </w:r>
    </w:p>
    <w:p>
      <w:r>
        <w:rPr>
          <w:b/>
        </w:rPr>
        <w:t>E. 3</w:t>
      </w:r>
    </w:p>
    <w:p>
      <w:r>
        <w:t>Les frais judiciaires et les dépens sont mis solidairement à la charge des parties qui succombent (art. 66 al. 1 et 5 et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