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4A_58/2009 vom 14. April 2009</w:t>
      </w:r>
    </w:p>
    <w:p>
      <w:r>
        <w:t>Bundesgericht, 2009-04-14, DE</w:t>
      </w:r>
    </w:p>
    <w:p>
      <w:r>
        <w:rPr>
          <w:b/>
        </w:rPr>
        <w:t xml:space="preserve">Quelle: </w:t>
      </w:r>
      <w:r>
        <w:t>https://mcp.opencaselaw.ch/entscheid/bger_4A_58_2009</w:t>
      </w:r>
    </w:p>
    <w:p>
      <w:r>
        <w:t>FR: TF 4A_58/2009 du 14 avril 2009</w:t>
      </w:r>
    </w:p>
    <w:p>
      <w:r>
        <w:t>IT: TF 4A_58/2009 del 14 aprile 2009</w:t>
      </w:r>
    </w:p>
    <w:p>
      <w:pPr>
        <w:pStyle w:val="Heading2"/>
      </w:pPr>
      <w:r>
        <w:t>Erwägungen</w:t>
      </w:r>
    </w:p>
    <w:p>
      <w:r>
        <w:rPr>
          <w:b/>
        </w:rPr>
        <w:t>E. 1.1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Auf Rügen, die mit kantonaler Nichtigkeitsbeschwerde einer weiteren kantonalen Instanz hätten vorgetragen werden können, ist mangels Letztinstanzlichkeit nicht einzutreten.</w:t>
      </w:r>
    </w:p>
    <w:p>
      <w:r>
        <w:t>Der Beschwerdeführer hat sowohl den Beschluss des Handelsgerichts vom 5. Mai 2008 als auch den Beschluss des Kassationsgerichts vom 10. November 2008 beim Bundesgericht angefochten. Dies ist grundsätzlich zulässig und die Beschwerdefrist ist auch bezüglich des handelsgerichtlichen Entscheids gewahrt ( Art. 100 Abs. 6 BGG ). Soweit sich die Beschwerde gegen den Entscheid des Handelsgerichts vom 5. Mai 2008 richtet, beschränken sich die vorgebrachten Rügen auf die Verletzung des Fairnessgebots ( Art. 29 Abs. 1 BV bzw. Art. 6 Ziff. 1 EMRK ) sowie des Anspruchs auf unentgeltliche Rechtspflege ( Art. 29 Abs. 3 BV ) und auf Wahrung von Treu und Glauben ( Art. 9 BV ), mithin auf die Verletzung verfassungsmässiger Rechte. Für diese vom Beschwerdeführer mit Beschwerde in Zivilsachen erhobenen Rügen stand nach § 281 ZPO /ZH die Nichtigkeitsbeschwerde an das Kassationsgericht des Kantons Zürich offen (vgl. Frank/Sträuli/Messmer, Kommentar zur zürcherischen Zivilprozessordnung, 3. Aufl. 1997, N. 16 ff. zu § 281 ZPO /ZH). Eine solche wurde vom Beschwerdeführer auch erhoben. Da der Beschwerdeführer vor Bundesgericht keine Rügegründe geltend macht, die dem Kassationsgericht nicht hätten vorgetragen werden können, fehlt es dem angefochtenen Entscheid des Handelsgerichts insoweit an der Letztinstanzlichkeit ( Art. 75 Abs. 1 BGG ). Auf die dagegen gerichtete Beschwerde kann nicht eingetreten werden.</w:t>
      </w:r>
    </w:p>
    <w:p>
      <w:r>
        <w:rPr>
          <w:b/>
        </w:rPr>
        <w:t>E. 1.2</w:t>
      </w:r>
    </w:p>
    <w:p>
      <w:r>
        <w:t>Der Beschwerdeführer hatte gegen den Beschluss vom 20. März 2008, mit dem das Handelsgericht sein Begehren um Gewährung der unentgeltlichen Prozessführung abwies, kein Rechtsmittel ergriffen, sondern erst den Endentscheid vom 5. Mai 2008 angefochten. Dennoch richtet sich die Begründung der Beschwerde gegen die Verweigerung der unentgeltlichen Rechtspflege. Dies ist zulässig, da es sich beim Beschluss vom 20. März 2008 um einen Zwischenentscheid im Sinne von Art. 93 BGG handelt und die Unterlassung der selbständigen Anfechtung eines solchen die Anfechtung eines darauf beruhenden Endentscheids nicht ausschliesst ( Art. 93 Abs. 3 BGG ).</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393 E. 7.1, 462 E. 2.4). Im vorliegenden Verfahren ist zudem zu beachten, dass behauptete Rechtsverletzungen, die zunächst mit kantonaler Nichtigkeitsbeschwerde hätten vorgetragen werden können, jedoch nicht gerügt worden sind, mangels Erschöpfung des kantonalen Instanzenzugs ( Art. 75 Abs. 1 BGG ) von vornherein ausser Betracht bleiben müssen.</w:t>
      </w:r>
    </w:p>
    <w:p>
      <w:r>
        <w:rPr>
          <w:b/>
        </w:rPr>
        <w:t>E. 2.2</w:t>
      </w:r>
    </w:p>
    <w:p>
      <w:r>
        <w:t>Diese Grundsätze verkennt der Beschwerdeführer. Er stellt seinen rechtlichen Ausführungen eine eigene Sachverhaltsdarstellung voran, in der er den Ablauf der Ereignisse sowie des Verfahrens aus seiner Sicht darlegt. Er weicht darin - wie auch in seiner weiteren Beschwerdebegründung - in zahlreichen Punkten von den tatsächlichen Feststellungen der Vorinstanz ab oder erweitert diese, ohne substantiiert Ausnahmen von der Sachverhaltsbindung gemäss Art. 105 Abs. 2 und Art. 97 Abs. 1 BGG geltend zu machen. Seine Vorbringen haben insoweit unbeachtet zu bleiben.</w:t>
      </w:r>
    </w:p>
    <w:p>
      <w:r>
        <w:rPr>
          <w:b/>
        </w:rPr>
        <w:t>E. 3</w:t>
      </w:r>
    </w:p>
    <w:p>
      <w:r>
        <w:t>Soweit sich die Beschwerde gegen den Beschluss des Kassationsgerichts vom 10. November 2008 richtet, rügt der Beschwerdeführer eine Verletzung des Anspruchs auf unentgeltliche Rechtspflege ( Art. 29 Abs. 3 BV ).</w:t>
      </w:r>
    </w:p>
    <w:p>
      <w:r>
        <w:rPr>
          <w:b/>
        </w:rPr>
        <w:t>E. 3.1</w:t>
      </w:r>
    </w:p>
    <w:p>
      <w:r>
        <w:t>Nach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Als aussichtslos sind nach der bundesgerichtlichen Rechtsprechung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Die Rüge einer bedürftigen Partei, ihr verfassungsmässiger Anspruch auf unentgeltliche Rechtspflege sei verletzt, prüft das Bundesgericht in rechtlicher Hinsicht frei. Soweit es um tatsächliche Feststellungen der kantonalen Instanz geht, ist seine Prüfungsbefugnis auf Willkür beschränkt ( Art. 95 lit. a BGG ; BGE 134 I 12 E. 2.3 ; 130 I 180 E. 2.1; je mit Hinweisen).</w:t>
      </w:r>
    </w:p>
    <w:p>
      <w:r>
        <w:rPr>
          <w:b/>
        </w:rPr>
        <w:t>E. 3.2</w:t>
      </w:r>
    </w:p>
    <w:p>
      <w:r>
        <w:t>Das Kassationsgericht hat im angefochtenen Entscheid erwogen, das Handelsgericht habe das Klagebegehren des Beschwerdeführers als Feststellung der Nichtverletzung einer Marke verstanden und dafür gehalten, die vom Beschwerdeführer in der vorliegend rudimentären Form präsentierten Argumente, zusammen mit dem unklar und ungenügend formulierten Rechtsbegehren und unter Berücksichtigung der vorhandenen Unterlagen ergäben im gegenwärtigen Zeitpunkt Gewinnaussichten, welche erheblich geringer als die Verlustgefahren seien. Das Kassationsgericht kam zum Schluss, die Vorbringen des Beschwerdeführers vermöchten an dieser Einschätzung der Erfolgsaussichten der Klage nichts zu ändern.</w:t>
      </w:r>
    </w:p>
    <w:p>
      <w:r>
        <w:t>Der Beschwerdeführer rügt, das Kassationsgericht habe seine Vorbringen gegen den Beschluss des Handelsgerichts vom 20. März 2008 in Verletzung von Art. 29 Abs. 3 BV verworfen. Er habe sich dagegen gewandt, dass seine Klage als aussichtslos qualifiziert und aus diesem Grund sein Gesuch um Gewährung der unentgeltlichen Rechtspflege abgewiesen worden sei. Das Kassationsgericht hätte die Aussicht seiner Klage mit freier Kognition prüfen und sich nicht auf eine Willkürkognition beschränken dürfen. Das Gericht hätte insbesondere aus den von ihm eingereichten Beilagen, die schon dem Handelsgericht vorgelegen hätten, ersehen können, dass ihm die Priorität am Domain-Namen "www.x.________.ch" zustehe, dessen Registrierung älter sei als die Hinterlegung der internationalen Wortmarke "X.________" der Beschwerdegegnerin. Seine Domain sei zudem über Jahre hinweg von der Beschwerdegegnerin unangefochten geblieben (Verwirkungseinrede), weshalb das Kassationsgericht nicht hätte zum Schluss kommen dürfen, seine Klage auf Feststellung der Nichtverletzung der Marke sei aussichtslos.</w:t>
      </w:r>
    </w:p>
    <w:p>
      <w:r>
        <w:rPr>
          <w:b/>
        </w:rPr>
        <w:t>E. 3.3</w:t>
      </w:r>
    </w:p>
    <w:p>
      <w:r>
        <w:t>Der Beschwerdeführer bringt zutreffend vor, dass bei der Beurteilung eines Gesuchs um Gewährung der unentgeltlichen Rechtspflege die Aussichten einer Klage in rechtlicher Hinsicht frei zu prüfen sind. Nachdem das Handelsgericht - wie aus den Feststellungen des angefochtenen Entscheides hervorgeht - die Aussichten der vom Beschwerdeführer eingereichten Klage zutreffend "unter Berücksichtigung der vorhandenen Unterlagen" beurteilt hat, hätte es die Daten der Registrierung der Domain des Beschwerdeführers einerseits und der internationalen Marke der Beschwerdegegnerin anderseits beachten müssen (vgl. etwa BGE 125 III 91 E. 3c S. 93 f.), was das Kassationsgericht im angefochtenen Entscheid verkennt. Auch wenn über Kollisionen zwischen Domain-Namen und Markenrechten nicht schematisch, sondern durch Abwägung der gegenseitigen Interessen zu entscheiden ist ( BGE 128 III 353 E. 4.3.2; 125 III 91 E. 3c S. 93; je mit Verweisen), kann unter Berücksichtigung der zeitlichen Priorität der Registrierung der Domain des Beschwerdeführers nicht von Vorneherein angenommen werden, die Gefahr des Unterliegens des Beschwerdeführers im Prozess sei derart hoch, dass die Chance des Obsiegens kaum mehr als ernsthaft bezeichnet werden könne.</w:t>
      </w:r>
    </w:p>
    <w:p>
      <w:r>
        <w:t>Zwar ist das Verhalten des Beschwerdeführers schwer nachvollziehbar, hat er sich doch am Verfahren kaum beteiligt, obwohl er beim Handelsgericht Klage eingereicht hatte. Anderseits ist gerade der Zweck der unentgeltlichen Rechtspflege, den Rechtssuchenden den Zugang zum Gericht zu gewährleisten, weshalb ihnen falls erforderlich auch ein Rechtsbeistand beizugeben ist. Es geht jedenfalls nicht an, eine Klage unter Hinweis auf ein "unklar und ungenügend formuliertes" Rechtsbegehren als aussichtlos zu qualifizieren, obwohl das Klagebegehren zutreffend als ein solches auf Feststellung der Nichtverletzung einer Marke erkannt wurde. Die Vorinstanz hat Art. 29 Abs. 3 BV verletzt, indem sie den Nichteintretensentscheid des Handelsgerichts geschützt hat, das die Klage zu Unrecht als aussichtslos qualifizierte. Das Kassationsgericht hätte diesen Entscheid vielmehr aufheben müssen, so dass das Handelsgericht nach Beurteilung der Bedürftigkeit des Beschwerdeführers über dessen Gesuch um Gewährung der unentgeltlichen Rechtspflege neu entscheidet.</w:t>
      </w:r>
    </w:p>
    <w:p>
      <w:r>
        <w:rPr>
          <w:b/>
        </w:rPr>
        <w:t>E. 4</w:t>
      </w:r>
    </w:p>
    <w:p>
      <w:r>
        <w:t>Nach dem Gesagten ist auf die Beschwerde nicht einzutreten, soweit sie sich gegen den Beschluss des Handelsgerichts vom 5. Mai 2008 richtet. Im Übrigen ist die Beschwerde gutzuheissen, der Beschluss des Kassationsgerichts vom 10. November 2008 ist aufzuheben und die Sache an die Vorinstanz zurückzuweisen.</w:t>
      </w:r>
    </w:p>
    <w:p>
      <w:r>
        <w:t>Die Beschwerdegegnerin unterliegt im Beschwerdeverfahren, weshalb ihr grundsätzlich die Gerichtskosten zu auferlegen wären ( Art. 66 Abs. 1 Satz 1 BGG ). Allerdings ist ihre Beteiligung am vorliegenden Verfahren darauf zurückzuführen, dass der Beschwerdeführer erst den Nichteintretensentscheid vom 5. Mai 2008 nach Ausbleiben des auferlegten Prozesskostenvorschusses angefochten hat. Hätte der Beschwerdeführer bereits gegen den Zwischenentscheid des Handelsgerichts vom 20. März 2008 betreffend die Verweigerung der unentgeltlichen Rechtspflege Rechtsmittel erhoben, wäre der Beschwerdegegnerin im Verfahren vor Bundesgericht keine Parteistellung zugekommen und hätten ihr entsprechend weder die Gerichtskosten noch eine Parteientschädigung auferlegt werden können. Da sich das vorliegende Beschwerdeverfahren auf die Frage der unentgeltlichen Rechtspflege beschränkt, rechtfertigt es sich auch hier nicht, der Beschwerdegegnerin Kosten und Entschädigungen zu auferlegen (Art. 66 Abs. 1 Satz 2 sowie Art. 68 Abs. 1 und 2 BGG ). Zudem konnte auf das Hauptbegehren des Beschwerdeführers nicht eingetreten werden. Ein Gesuch um Beiordnung eines unentgeltlichen Rechtsbeistands hat der Beschwerdeführer für das bundesgerichtliche Verfahren im Übrigen nicht gestellt (vgl. Art. 64 Abs. 2 BGG ). Die Parteikosten werden daher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