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4A_589/2023 vom 13. Mai 2024</w:t>
      </w:r>
    </w:p>
    <w:p>
      <w:r>
        <w:t>Bundesgericht, 2024-05-13, DE</w:t>
      </w:r>
    </w:p>
    <w:p>
      <w:r>
        <w:rPr>
          <w:b/>
        </w:rPr>
        <w:t xml:space="preserve">Quelle: </w:t>
      </w:r>
      <w:r>
        <w:t>https://mcp.opencaselaw.ch/entscheid/bger_4A_589_2023</w:t>
      </w:r>
    </w:p>
    <w:p>
      <w:r>
        <w:t>FR: TF 4A_589/2023 du 13 mai 2024</w:t>
      </w:r>
    </w:p>
    <w:p>
      <w:r>
        <w:t>IT: TF 4A_589/2023 del 13 maggio 2024</w:t>
      </w:r>
    </w:p>
    <w:p>
      <w:pPr>
        <w:pStyle w:val="Heading2"/>
      </w:pPr>
      <w:r>
        <w:t>Erwägungen</w:t>
      </w:r>
    </w:p>
    <w:p>
      <w:r>
        <w:rPr>
          <w:b/>
        </w:rPr>
        <w:t>E. 1</w:t>
      </w:r>
    </w:p>
    <w:p>
      <w:r>
        <w:t>Die Sachurteilsvoraussetzungen sind erfüllt und geben zu keinen Bemerkungen Anlass. Wie zu zeigen sein wird, verfehlt der Beschwerdeführer allerdings durchwegs die Begründungsanforderungen an eine Beschwerde in Zivilsachen.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t>Macht die beschwerdeführende Partei eine Verletzung des Willkürverbots von Art. 9 BV geltend, genügt es nicht, wenn sie einfach behauptet, der angefochtene Entscheid sei willkürlich ( BGE 134 II 349 E. 3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mit Hinweisen).</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der Beschwerdeführer in seiner Replik darüber hinausgeht, kann er nicht gehört werden.</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2.4</w:t>
      </w:r>
    </w:p>
    <w:p>
      <w:r>
        <w:t>Diese Grundsätze verkennt der Beschwerdeführer, wenn er die Sachverhaltsfeststellungen der Vorinstanz pauschal als "offensichtlich unrichtig" qualifiziert, ohne rechtsgenüglich aufzuzeigen (Erwägung 2.3), inwiefern die vorinstanzlichen Feststellungen willkürlich wären. Das Gleiche gilt, wenn er auf tatsächliche Elemente abstellt, die so nicht im Sachverhalt der Vorinstanz festgestellt sind, ohne eine hinreichende Rüge nach den oben genannten Grundsätzen zu erheben (Erwägung 2.3). Insbesondere zeigt er nicht mit präzisen Aktenhinweisen auf, dass er die entsprechenden Tatsachen bereits im vorinstanzlichen Verfahren eingebracht hätte.</w:t>
      </w:r>
    </w:p>
    <w:p>
      <w:r>
        <w:t>Ebenso wenig ist auf die Ausführungen des Beschwerdeführers einzutreten, mit denen er die Erwägungen der Vorinstanz als bundesrechtswidrig "im Sinne von Art. 95 lit. b BGG " bezeichnet, ohne sich rechtsgenüglich mit den vorinstanzlichen Erwägungen auseinanderzusetzen und ohne hinreichend konkret darzulegen, worin die Bundesrechtsverletzung liegen soll (Erwägung 2.1). Das Gleiche gilt schliesslich, wenn er der Vorinstanz eine Verletzung des rechtlichen Gehörs vorwirft, diesen Vorwurf aber nicht rechtsgenüglich begründet.</w:t>
      </w:r>
    </w:p>
    <w:p>
      <w:r>
        <w:rPr>
          <w:b/>
        </w:rPr>
        <w:t>E. 3.1</w:t>
      </w:r>
    </w:p>
    <w:p>
      <w:r>
        <w:t>Die Vorinstanz legte im angefochtenen Entscheid Ziff. 7 des Kooperationsvertrags aus und kam zum Ergebnis, dass gemäss dem klaren Wortlaut der Bestimmung die kündigende Partei nach der Kündigung ihre Kommissionsansprüche hinsichtlich zukünftiger Geschäfte verliere, soweit diese nicht auf bereits vor diesem Zeitpunkt unterzeichneten Verträgen basierten ("Upon termination [...] the terminating Party voids his right to any commission for future businesses. Commissions will continue to be due for contracts already signed with customers for products as per Annex 1"). Gemeint seien damit offensichtlich Kommissionsansprüche, die nach der Kündigung (und nicht erst nach Ablauf des Vertrags) nicht mehr in die Berechnung des "Lohnanspruchs" miteinzubeziehen seien. Davon sei in der Klageantwort auch der Beschwerdeführer ausgegangen, ehe er in der Duplik und im Berufungsverfahren das Gegenteil behauptet habe, was er jedoch nicht überzeugend zu begründen vermöge. Nachdem der Beschwerdeführer den Vertrag bereits am 18. Oktober 2011 gekündigt habe, seien die auf dem Contract vom 22. Februar 2012 basierenden Geschäfte bzw. Kommissionen bei der Berechnung des "Lohnanspruchs" von vornherein nicht mehr zu berücksichtigen.</w:t>
      </w:r>
    </w:p>
    <w:p>
      <w:r>
        <w:rPr>
          <w:b/>
        </w:rPr>
        <w:t>E. 3.2</w:t>
      </w:r>
    </w:p>
    <w:p>
      <w:r>
        <w:t>Dagegen beharrt der Beschwerdeführer auf einem in der Duplik und im Berufungsverfahren vorgetragenen Standpunkt, dass unter der Wendung "termination of contract" in Ziff. 7 des Vertrags nicht die Kündigung des Vertrags, sondern dessen Beendigung gemeint sei. Er rügt aber vor Bundesgericht - wenn überhaupt (Erwägung 2.1) - die Vertragsauslegung der Vorinstanz lediglich unter dem Gesichtspunkt der Willkür und behauptet, dass auf Englisch der Begriff "termination" sowohl Kündigung als auch Beendigung heissen könne, was auch mit einer teleologischen Auslegung der Klausel in Einklang stehe.</w:t>
      </w:r>
    </w:p>
    <w:p>
      <w:r>
        <w:t>Entgegen der Auffassung des Beschwerdeführers liegt Willkür nicht bereits dann vor, wenn eine andere Interpretation des Vertrags ebenfalls denkbar ist, sondern erst dann, wenn die Vertragsauslegung der Vorinstanz geradezu offensichtlich unrichtig ist (Erwägung 2.1). Inwiefern die vorinstanzliche Vertragsinterpretation geradezu offensichtlich unrichtig wäre, zeigt der Beschwerdeführer nicht auf. Vielmehr ging er zunächst selbst davon aus, dass mit der strittigen Wendung die Vertragskündigung gemeint sei und warf in seiner erstinstanzlichen Klageantwort dem Beschwerdegegner vor, dass dieser Ziff. 7 des Vertrags "schlicht falsch" übersetzt habe. Er offerierte eine "richtige" Übersetzung und übersetzte die hier strittige Wendung als "nach erfolgter Kündigung", ehe er in späteren Rechtsschriften das Gegenteil behauptete und nach seinen Vorbringen auch Kommissionen für Geschäfte nach der Kündigung "in seine weiteren Berechnungen" einschloss. Willkür liegt hier offensichtlich nicht vor und wird nicht rechtsgenüglich dargetan.</w:t>
      </w:r>
    </w:p>
    <w:p>
      <w:r>
        <w:rPr>
          <w:b/>
        </w:rPr>
        <w:t>E. 4.1</w:t>
      </w:r>
    </w:p>
    <w:p>
      <w:r>
        <w:t>Der Beschwerdeführer beruft sich darauf, es sei rechtsmissbräuchlich, die Abrechnungspflicht eines Kommissionsgeschäfts erst 6,5 Jahre nach Vertragsende einzufordern. Da der Berufungsprozess "einen anderen Schwerpunkt" gehabt habe, sei er nicht gehalten gewesen, dieses Thema dort anzusprechen. Da die Berufungsinstanz auf diesen "Einwand" nicht eingegangen sei, verletze sie das rechtliche Gehör und stelle den Sachverhalt falsch fest.</w:t>
      </w:r>
    </w:p>
    <w:p>
      <w:r>
        <w:rPr>
          <w:b/>
        </w:rPr>
        <w:t>E. 4.2</w:t>
      </w:r>
    </w:p>
    <w:p>
      <w:r>
        <w:t>Der Beschwerdeführer verkennt damit die Anforderungen an das Berufungsverfahren. Entgegen seiner Auffassung war die Vorinstanz nicht gehalten, das erstinstanzliche Urteil losgelöst von konkreten Anhaltspunkten von sich aus in jede Richtung hin auf mögliche Mängel zu untersuchen. Abgesehen von offensichtlichen Mängeln darf sie sich darauf beschränken, die Beanstandungen zu beurteilen, welche die Parteien in ihren schriftlichen Begründungen ( Art. 311 Abs. 1 und Art. 312 Abs. 1 ZPO ) gegen das erstinstanzliche Urteil erheben ( BGE 147 III 176 E. 4.2.1; 141 III 569 E. 2.3.3; 138 III 374 E. 4.3.1; je mit Hinweisen). Der Beschwerdeführer macht zu Recht nicht geltend, dass der nun angerufene Mangel offensichtlich gewesen wäre. Die Rügen der Verletzung des rechtlichen Gehörs und der "falschen" Sachverhaltsfeststellung erweisen sich ebenfalls als nicht hinreichend begründet (Erwägung 2.1). Mangels Ausschöpfung des Instanzenzuges ( Art. 75 BGG ; BGE 146 III 203 E. 3.3.4; 143 III 290 E. 1.1; je mit Hinweisen) kann der erstmals vor Bundesgericht erhobene Vorwurf des Rechtsmissbrauchs nicht gehört werden.</w:t>
      </w:r>
    </w:p>
    <w:p>
      <w:r>
        <w:rPr>
          <w:b/>
        </w:rPr>
        <w:t>E. 5</w:t>
      </w:r>
    </w:p>
    <w:p>
      <w:r>
        <w:t>Die Kosten- und Entschädigungsfolgen des kantonalen Verfahrens werden nicht unabhängig vom Ausgang des Verfahrens angefochten, zumindest offensichtlich nicht hinreichend. Nachdem die Beschwerde erfolglos ist, bleibt es auch ohne weiteres beim Kosten- und Entschädigungsentscheid der Vorinstanz.</w:t>
      </w:r>
    </w:p>
    <w:p>
      <w:r>
        <w:rPr>
          <w:b/>
        </w:rPr>
        <w:t>E. 6</w:t>
      </w:r>
    </w:p>
    <w:p>
      <w:r>
        <w:t>Auf die Beschwerde ist nach dem Gesagten nicht einzutreten.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