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4A_589/2008 vom 12. März 2009</w:t>
      </w:r>
    </w:p>
    <w:p>
      <w:r>
        <w:t>Bundesgericht, 2009-03-12, FR</w:t>
      </w:r>
    </w:p>
    <w:p>
      <w:r>
        <w:rPr>
          <w:b/>
        </w:rPr>
        <w:t xml:space="preserve">Quelle: </w:t>
      </w:r>
      <w:r>
        <w:t>https://mcp.opencaselaw.ch/entscheid/bger_4A_589_2008</w:t>
      </w:r>
    </w:p>
    <w:p>
      <w:r>
        <w:t>FR: TF 4A_589/2008 du 12 mars 2009</w:t>
      </w:r>
    </w:p>
    <w:p>
      <w:r>
        <w:t>IT: TF 4A_589/2008 del 12 marzo 2009</w:t>
      </w:r>
    </w:p>
    <w:p>
      <w:pPr>
        <w:pStyle w:val="Heading2"/>
      </w:pPr>
      <w:r>
        <w:t>Erwägungen</w:t>
      </w:r>
    </w:p>
    <w:p>
      <w:r>
        <w:rPr>
          <w:b/>
        </w:rPr>
        <w:t>E. 1.1</w:t>
      </w:r>
    </w:p>
    <w:p>
      <w:r>
        <w:t>Interjeté par la partie défenderesse qui a entièrement succombé dans ses conclusions libératoires et qui a ainsi la qualité pour recourir ( art. 76 al. 1 LTF ), dirigé contre un arrêt final ( art. 90 LTF ) rendu en matière civile ( art. 72 al. 1 LTF ) par une autorité cantonale de dernière instance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tel qu'il est délimité par les art. 95 et 96 LTF . En vertu de l'exception ancrée à l' art. 106 al. 2 LTF , le Tribunal fédéral n'entre pas en matière sur la violation d'un droit de rang constitutionnel ou sur une question afférente au droit cantonal ou intercantonal si le grief n'a pas été invoqué et motivé de manière détaillée par la partie recourante.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134 III 102 consid. 1.1 et l'arrêt cité). Toutefois,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 244 consid. 2.1; 134 III 102 consid. 1.1).</w:t>
      </w:r>
    </w:p>
    <w:p>
      <w:r>
        <w:t>Saisi d'un recours en matière civile, 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Il appartient au recourant de soulever expressément un grief à ce propos et de présenter une démonstration précise et circonstanciée ( art. 106 al. 2 LTF ; ATF 134 II 244 consid. 2.2; 133 II 545 consid. 2.2).</w:t>
      </w:r>
    </w:p>
    <w:p>
      <w:r>
        <w:t>Aucun fait nouveau ni preuve nouvelle ne peut être présenté à moins de résulter de la décision de l'autorité précédente ( art. 99 al. 1 LTF ).</w:t>
      </w:r>
    </w:p>
    <w:p>
      <w:r>
        <w:t>Le Tribunal fédéral ne peut aller au-delà des conclusions des parties ( art. 107 al. 1 LTF ). Toute conclusion nouvelle est irrecevable ( art. 99 al. 2 LTF ).</w:t>
      </w:r>
    </w:p>
    <w:p>
      <w:r>
        <w:rPr>
          <w:b/>
        </w:rPr>
        <w:t>E. 2.1</w:t>
      </w:r>
    </w:p>
    <w:p>
      <w:r>
        <w:t>Pour la recourante, l'autorité cantonale a arbitrairement déduit des faits de la cause la conclusion que les parties s'étaient tacitement entendues sur l'applicabilité de la norme SIA 102 à leurs rapports contractuels. Elle fait valoir que les montants qu'elle a versés dans le cadre du projet «V.________» ne se référaient à aucune norme SIA, qu'elle n'a pas signé les projets de contrat des 1er mars 2002 et 15 mai 2003 et qu'elle n'a réglé que les deux premières demandes d'acomptes. La recourante se réfère de plus à quatre courriers qu'elle a adressés au demandeur les 23 mai 2003, 3 juillet 2003, 10 janvier 2004 et 19 avril 2004 - dont elles citent quelques lignes éparses - , écritures qui traduiraient la mésentente qui a constamment régné entre les parties au sujet des honoraires de l'architecte.</w:t>
      </w:r>
    </w:p>
    <w:p>
      <w:r>
        <w:rPr>
          <w:b/>
        </w:rPr>
        <w:t>E. 2.2</w:t>
      </w:r>
    </w:p>
    <w:p>
      <w:r>
        <w:t>Le moyen est hors propos. Selon l'arrêt déféré, il n'a pas été possible de constater la volonté réelle et commune des parties d'intégrer ou non la norme SIA 102 au contrat d'architecte global qu'elles ont conclu en rapport avec l'édification d'un immeuble au rond-point T.________ à Carouge. Confrontée à cet échec, l'autorité cantonale a fait application du principe de la confiance. Elle a ainsi considéré que le demandeur pouvait inférer de l'attitude de la défenderesse que celle-ci avait accepté d'incorporer la norme SIA 102 à leurs rapports contractuels. Elle a fondé cette interprétation normative sur le fait que la société recourante, dotée de deux administrateurs dont l'un est avocat et l'autre un professionnel de l'immobilier, n'a jamais refusé les offres de contrat qui se rapportaient explicitement à la norme en cause, qu'elle a honoré les deux premières demandes d'acomptes d'honoraires alors qu'elles étaient calculées en application de ladite norme et qu'elle s'est abstenue de contester les demandes d'acomptes suivantes, tout en laissant l'architecte continuer à fournir ses prestations.</w:t>
      </w:r>
    </w:p>
    <w:p>
      <w:r>
        <w:t>Or l'application du principe de la confiance est une question de droit, qui repose singulièrement sur l'application des art. 1 CO et 2 al. 1 CC ( ATF 133 III 61 consid. 2.2.1, 675 consid. 3.3 p. 681 s. et les arrêts cités; 132 III 626 consid. 3.1).</w:t>
      </w:r>
    </w:p>
    <w:p>
      <w:r>
        <w:t>La recourante n'élève aucune critique sur le consensus normatif déduit par les juges cantonaux à partir du comportement qu'elle a adopté depuis mai 2001, époque où elle a fait appel au demandeur pour l'exécution de prestations d'architecte.</w:t>
      </w:r>
    </w:p>
    <w:p>
      <w:r>
        <w:t>Le moyen doit être rejeté dans la faible mesure de sa recevabilité.</w:t>
      </w:r>
    </w:p>
    <w:p>
      <w:r>
        <w:rPr>
          <w:b/>
        </w:rPr>
        <w:t>E. 3.1</w:t>
      </w:r>
    </w:p>
    <w:p>
      <w:r>
        <w:t>La recourante prétend que la cour cantonale a sombré dans l'arbitraire en n'imputant pas sur le montant global des honoraires de l'intimé les deux versements, par 100'000 fr. et 150'000 fr., qu'elle a opérés en faveur du demandeur dans le cadre du projet «V.________» de 1995.</w:t>
      </w:r>
    </w:p>
    <w:p>
      <w:r>
        <w:rPr>
          <w:b/>
        </w:rPr>
        <w:t>E. 3.2</w:t>
      </w:r>
    </w:p>
    <w:p>
      <w:r>
        <w:t>Sur cette question, la Cour de justice a expliqué, au considérant 9.2 de l'arrêt déféré, que le projet de 1995, lequel avait fait l'objet d'un contrat distinct passé avec l'intimé et un second architecte, différait à tel point du projet finalement exécuté que ce dernier constituait une refonte complète du projet «V.________». En outre, la défenderesse avait fait savoir elle-même, par deux fois, qu'elle n'était pas liée, depuis le rachat de son capital-actions par B.________, par ses anciens engagements à l'égard du demandeur et de son associé d'alors. Le demandeur s'était conformé à cette manière de voir en proposant à la défenderesse la conclusion d'un nouveau contrat avec lui seul et en envoyant régulièrement des demandes d'acomptes ne faisant pas état, dans le calcul de sa rémunération, de l'imputation des honoraires reçus pour le projet de 1995. De surcroît, la défenderesse, dont les deux administrateurs ne pouvaient être qualifiés de novices en affaires, n'avait pas émis une quelconque protestation sur la méthode appliquée pour chiffrer les deux premières demandes d'acomptes, qu'elle avait au demeurant réglées. L'autorité cantonale a déduit de l'ensemble de ces éléments que le demandeur pouvait raisonnablement en conclure que son projet de contrat d'architecte global, lequel ne contenait aucune imputation des montants versés en exécution du précédent contrat, avait été accepté par la défenderesse.</w:t>
      </w:r>
    </w:p>
    <w:p>
      <w:r>
        <w:t>La recourante ne prend pas position sur ce raisonnement, du reste convaincant, qui repose derechef sur une interprétation objective de l'attitude qu'elle a adoptée notamment à partir de 2001. Elle n'invoque au demeurant la violation d'aucune norme du droit des obligations ou du droit civil, se contentant de clamer l'arbitraire ( art. 9 Cst. ).</w:t>
      </w:r>
    </w:p>
    <w:p>
      <w:r>
        <w:t>La critique, faute de motivation conforme à l' art. 106 al. 2 LTF , est irrecevable.</w:t>
      </w:r>
    </w:p>
    <w:p>
      <w:r>
        <w:rPr>
          <w:b/>
        </w:rPr>
        <w:t>E. 4.1</w:t>
      </w:r>
    </w:p>
    <w:p>
      <w:r>
        <w:t>La recourante fait grief à la Cour de justice d'avoir violé l' art. 8 CC en refusant d'ordonner une expertise afin de déterminer les honoraires et frais de l'intimé. Elle déclare, si on la comprend bien, que pour déterminer le facteur de correction prévu à l'art. 7.5 de la norme SIA 102, édition 1984, pour appliquer les « facteurs d'expérience » et pour estimer la valeur des prestations partielles exécutées ainsi que le degré de complexité lié à la catégorie de l'ouvrage, il faut disposer de connaissances particulières, que seul un expert détiendrait.</w:t>
      </w:r>
    </w:p>
    <w:p>
      <w:r>
        <w:rPr>
          <w:b/>
        </w:rPr>
        <w:t>E. 4.2.1</w:t>
      </w:r>
    </w:p>
    <w:p>
      <w:r>
        <w:t>La jurisprudence déduit de l' art. 8 CC un droit à la preuve et à la contre-preuve ( ATF 126 III 315 consid. 4a), à la condition qu'il s'agisse d'établir un fait pertinent ( ATF 126 III 315 consid. 4a; 123 III 35 consid. 2b), qui n'est pas déjà prouvé ( ATF 127 III 519 consid. 2a; 126 III 315 consid. 4a), au moyen d'une mesure probatoire appropriée (cf. ATF 90 II 224 consid. 4b) régulièrement offerte selon les règles de la loi de procédure civile applicable ( ATF 126 III 315 consid. 4a).</w:t>
      </w:r>
    </w:p>
    <w:p>
      <w:r>
        <w:t>La faculté pour une partie de demander au juge de désigner un expert indépendant découle du droit à la preuve et à la contre-preuve (cf. ATF 109 II 291 consid. 2c p. 295; 102 II 7 consid. 3; FABIENNE HOHL, Procédure civile, Tome I, Berne 2001, p. 219 ss; BERTOSSA ET AL., Commentaire de la loi de procédure civile genevoise, n° 4 ad art. 255 LPC /GE). En effet, lorsqu'un tribunal, qui ne dispose pas des connaissances techniques nécessaires pour se prononcer sur une certaine question, rejette une requête d'une partie tendant à la désignation d'un expert indépendant déposée en temps utile et dans les formes requises, il viole le droit à la preuve de la partie qui supporte le fardeau de la preuve ou le droit à la contre-preuve de la partie adverse (arrêt 4A_52/2008 du 29 avril 2008 consid. 3.4). Chacune de ces parties a en effet un droit découlant du droit fédéral à ce que sa requête visant à établir la preuve à l'aide d'une expertise soit accueillie. Toutefois, ce droit n'existe pas lorsqu'il ressort de la motivation matérielle de manière concluante que les questions techniques étaient compréhensibles pour une personne ne disposant pas de connaissances spécifiques, de sorte que le recours à un expert n'était pas nécessaire (arrêts 4A_249/2008 du 12 décembre 2008 consid. 3.1 et 4C.300/2002 du 18 décembre 2002 consid. 1.1).</w:t>
      </w:r>
    </w:p>
    <w:p>
      <w:r>
        <w:rPr>
          <w:b/>
        </w:rPr>
        <w:t>E. 4.2.2</w:t>
      </w:r>
    </w:p>
    <w:p>
      <w:r>
        <w:t>Il résulte de la formule énoncée à l'art. 8.1.1 de la norme SIA 102 que les honoraires de l'architecte sont calculés à partir de divers paramètres, au nombre desquels figurent le degré de complexité de l'ouvrage, la valeur des prestations partielles à fournir et un facteur de correction.</w:t>
      </w:r>
    </w:p>
    <w:p>
      <w:r>
        <w:t>Dans un arrêt rendu très récemment entre les mêmes parties en relation avec la construction d'un bâtiment à la route des Acacias 46 (cf. arrêt 4A_249/2008 du 12 décembre 2008 consid. 3), le Tribunal fédéral a jugé que la détermination du degré de complexité de l'ouvrage, réparti en sept catégories par les art. 7.3, 7.4 et 8.1 de la norme en question, n'exigeait pas des connaissances particulières qui échapperaient aux juges cantonaux. Il a de même considéré que la fixation de la valeur des prestations partielles à fournir en proportion de la prestation totale ne requérait pas un savoir dont seul un expert pourrait se targuer, dès l'instant où, pour arrêter ce facteur, il suffisait d'additionner les pourcentages prévus par l'art. 3.6 de la norme SIA 102 pour chacune des phases de la construction. Cette jurisprudence s'applique en tous points aux données de l'espèce.</w:t>
      </w:r>
    </w:p>
    <w:p>
      <w:r>
        <w:t>S'agissant du facteur de correction tenant compte des circonstances qui simplifient ou compliquent la tâche de l'architecte, il est échelonné entre 0.8 et 1.2 par l'art. 7.5 de la norme SIA 102. En l'occurrence, il a été retenu que le demandeur a appliqué le facteur 1.2 dans le cadre des six demandes d'acomptes adressées à la défenderesse. La cour cantonale a estimé, sur la base d'une interprétation objective du comportement de la recourante, laquelle n'a jamais protesté contre l'utilisation de ce facteur alors que l'un de ses administrateurs est un professionnel de l'immobilier, que l'intimé pouvait de bonne foi admettre que la quotité de ce paramètre était acceptée. Il s'agit là d'une question de droit dont la résolution incombe uniquement au juge, et nullement à un expert.</w:t>
      </w:r>
    </w:p>
    <w:p>
      <w:r>
        <w:t>Quant aux « facteurs d'expérience », on ne voit pas à quelle disposition de la norme SIA 102 ils peuvent se rattacher. La recourante ne donne d'ailleurs aucune explication à ce propos, d'où l'irrecevabilité de ce pan du moyen ( art. 42 al. 1 et 2 LTF ).</w:t>
      </w:r>
    </w:p>
    <w:p>
      <w:r>
        <w:t>Il suit des considérations qui précèdent que la cour cantonale n'a pas enfreint l' art. 8 CC en refusant de commettre un expert, comme le requérait la défenderesse, pour arrêter les frais et honoraires du demandeur.</w:t>
      </w:r>
    </w:p>
    <w:p>
      <w:r>
        <w:t>Le moyen doit être rejeté en tant qu'il est recevable.</w:t>
      </w:r>
    </w:p>
    <w:p>
      <w:r>
        <w:rPr>
          <w:b/>
        </w:rPr>
        <w:t>E. 5</w:t>
      </w:r>
    </w:p>
    <w:p>
      <w:r>
        <w:t>La recourante, invoquant l' art. 97 LTF , allègue pour finir que l'autorité cantonale a établi les faits de façon manifestement inexacte ou en violation du droit. Elle affirme de nouveau que la « valeur d'expérience », le degré de complexité, la catégorie de l'ouvrage et le facteur de correction ont été établis au mépris de l' art. 8 CC , sans expertise.</w:t>
      </w:r>
    </w:p>
    <w:p>
      <w:r>
        <w:t>Il a été fait justice de ce grief au considérant 4 ci-dessus. Il n'y a pas lieu d'y revenir.</w:t>
      </w:r>
    </w:p>
    <w:p>
      <w:r>
        <w:rPr>
          <w:b/>
        </w:rPr>
        <w:t>E. 6</w:t>
      </w:r>
    </w:p>
    <w:p>
      <w:r>
        <w:t>En définitive, le recours doit être rejeté dans la mesure de sa recevabilité. Les frais judiciaires et les dépens doivent être mis à la charge de la recourante, qui succombe (art. 66 al. 1 et 68 al. 1 et 2 LTF).</w:t>
      </w:r>
    </w:p>
    <w:p>
      <w:r>
        <w:t>La décision sur le fond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