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4A_588/2016 vom 4. September 2017</w:t>
      </w:r>
    </w:p>
    <w:p>
      <w:r>
        <w:t>Bundesgericht, 2017-09-04, FR</w:t>
      </w:r>
    </w:p>
    <w:p>
      <w:r>
        <w:rPr>
          <w:b/>
        </w:rPr>
        <w:t xml:space="preserve">Quelle: </w:t>
      </w:r>
      <w:r>
        <w:t>https://mcp.opencaselaw.ch/entscheid/bger_4A_588_2016</w:t>
      </w:r>
    </w:p>
    <w:p>
      <w:r>
        <w:t>FR: TF 4A_588/2016 du 4 septembre 2017</w:t>
      </w:r>
    </w:p>
    <w:p>
      <w:r>
        <w:t>IT: TF 4A_588/2016 del 4 settembre 2017</w:t>
      </w:r>
    </w:p>
    <w:p>
      <w:pPr>
        <w:pStyle w:val="Heading2"/>
      </w:pPr>
      <w:r>
        <w:t>Erwägungen</w:t>
      </w:r>
    </w:p>
    <w:p>
      <w:r>
        <w:rPr>
          <w:b/>
        </w:rPr>
        <w:t>E. 1.1</w:t>
      </w:r>
    </w:p>
    <w:p>
      <w:r>
        <w:t>Interjeté par la défenderesse qui a entièrement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Il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1.3</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La recourante considère que la cour cantonale a établi les faits de manière manifestement inexacte au sens de l' art. 97 al. 1 LTF . Elle soutient en particulier que si l'autorité précédente n'avait pas omis de tenir compte de la pièce no 12 versée à la procédure cantonale par la défenderesse, ainsi que des pièces nos 1 et 8 de la demanderesse, elle aurait alors reconnu que le contrat de leasing avait été transféré à la société défenderesse, que le donneur de leasing en avait été informé, qu'il avait donné son accord et que le véhicule n'avait pas été remis par la demanderesse à D.________.</w:t>
      </w:r>
    </w:p>
    <w:p>
      <w:r>
        <w:t>En réalité, le contenu de la pièce no 12 est l'illustration du fait que le donneur de leasing pensait toujours avoir comme partenaire contractuel l'ancienne société X.A.________ SA. Peu importe à cet égard que le donneur confonde les raisons sociales des deux sociétés créées à la suite de la scission de l'ancienne X.A.________ SA. Il demeure qu'il ignorait tout d'un éventuel transfert et qu'il n'a donc pas pu donner son accord à celui-ci.</w:t>
      </w:r>
    </w:p>
    <w:p>
      <w:r>
        <w:t>Il résulte d'ailleurs des constatations cantonales que si le donneur de leasing a accepté le paiement des primes de leasing par la nouvelle X.________ SA et s'il s'est adressé à celle-ci pour lui verser l'indemnité d'assurance, c'est en raison d'une simple erreur de sa part, due au fait que la nouvelle X.________ SA partageait l'adresse de la demanderesse (soit l'ancienne X.A.________ SA).</w:t>
      </w:r>
    </w:p>
    <w:p>
      <w:r>
        <w:t>Quant aux pièces nos 1 et 8 de la demanderesse, elles consistent en des extraits du registre du commerce portant sur les nouvelles sociétés X.________ SA et Z.________ SA. Elles ne permettent de tirer aucune conclusion sur la question du transfert et,</w:t>
      </w:r>
    </w:p>
    <w:p>
      <w:r>
        <w:t>a fortiori , sont impropres à démontrer que le donneur de leasing aurait donné son accord à celui-ci.</w:t>
      </w:r>
    </w:p>
    <w:p>
      <w:r>
        <w:t>Le moyen est infondé.</w:t>
      </w:r>
    </w:p>
    <w:p>
      <w:r>
        <w:rPr>
          <w:b/>
        </w:rPr>
        <w:t>E. 3</w:t>
      </w:r>
    </w:p>
    <w:p>
      <w:r>
        <w:t>La recourante estime être en droit de remettre trois nouvelles pièces (non produites dans la procédure cantonale) qui, selon elle, prouveraient que le donneur de leasing était au courant du transfert et qu'il y aurait même donné son accord.</w:t>
      </w:r>
    </w:p>
    <w:p>
      <w:r>
        <w:t>C'est en vain qu'elle affirme, dans le souci de respecter l' art. 99 LTF , que ces pièces " résultent évidemment de la décision de l'autorité précédente " (acte de recours p. 17). En effet, la recourante ne prétend pas qu'elle aurait été empêchée de produire ces documents en temps utile dans la procédure cantonale et on ne voit d'ailleurs pas pourquoi elle n'aurait pas pu le faire, ces trois pièces revêtant toutes une date antérieure au début de la procédure de première instance.</w:t>
      </w:r>
    </w:p>
    <w:p>
      <w:r>
        <w:t>Le fait que l'autorité aurait arbitrairement omis de tenir compte de certaines pièces (comme la défenderesse l'a prétendu, en vain, supra consid. 2) est une autre question, qui doit être soulevée devant la Cour de céans en invoquant l'arbitraire ( art. 9 Cst. ) et, contrairement à ce que pense la recourante, il ne s'agit pas d'une situation qui résulterait de la décision de l'autorité précédente en vertu de l' art. 99 LTF .</w:t>
      </w:r>
    </w:p>
    <w:p>
      <w:r>
        <w:t>Le grief est irrecevable.</w:t>
      </w:r>
    </w:p>
    <w:p>
      <w:r>
        <w:rPr>
          <w:b/>
        </w:rPr>
        <w:t>E. 4</w:t>
      </w:r>
    </w:p>
    <w:p>
      <w:r>
        <w:t>Dans son moyen pris de la violation de son droit d'être entendue ( art. 29 al. 2 Cst. ), la recourante ne distingue pas clairement les différents aspects sous lesquels elle entend faire valoir cette garantie constitutionnelle. La recevabilité du grief est dès lors d'emblée douteuse.</w:t>
      </w:r>
    </w:p>
    <w:p>
      <w:r>
        <w:t>Quoi qu'il en soit, même si on postule que la recourante entendait présenter ses critiques sous deux angles différents, son argumentation ne convainc pas.</w:t>
      </w:r>
    </w:p>
    <w:p>
      <w:r>
        <w:t>Premièrement, la recourante semble se plaindre de ce que la cour cantonale s'est prononcée, par substitution de motifs, en application de l' art. 62 ss CO (acte de recours p. 20) [le Tribunal de première instance ayant tranché le litige sous l'angle de l'impossibilité subséquente de l' art. 119 CO ]. Elle considère que l'autorité précédente aurait dû lui donner la faculté de se prononcer à ce sujet. On ne saurait toutefois dire, comme le voudrait la recourante, que la norme légale appliquée par l'autorité cantonale ne pouvait être raisonnablement envisagée par les parties (cf. ATF 129 II 497 consid. 2.2 p. 504 s.). La question du transfert du contrat de leasing a été, comme le souligne l'intimée, évoquée plusieurs fois dans la procédure cantonale (cf. très clairement dans la procédure d'appel, la duplique p. 3 ad §1). Dans ces conditions, la recourante, qui était assistée d'un avocat, devait s'attendre à ce que la discussion porte sur le transfert et anticiper le fait que, si celui-ci était nié, la cour cantonale serait amenée à appliquer l' art. 62 CO . La recourante avait donc tout loisir de faire valoir ses arguments devant la cour cantonale.</w:t>
      </w:r>
    </w:p>
    <w:p>
      <w:r>
        <w:t>Deuxièmement, si on la comprend bien, la société défenderesse invoque la transgression de son droit d'être entendue sous son aspect de violation du droit à la preuve (acte de recours p. 20 s.). Elle ne prétend toutefois pas que la cour cantonale aurait refusé sans raison une preuve régulièrement offerte. Elle se borne à critiquer la manière dont les preuves ont été appréciées et, en particulier, elle se plaint à nouveau de ce que la cour cantonale n'a pas pris en considération les trois pièces déjà évoquées, ce qui est sans rapport avec le droit d'être entendu.</w:t>
      </w:r>
    </w:p>
    <w:p>
      <w:r>
        <w:t>La recourante revient encore à la charge sur ce point sous l'angle de l'appréciation arbitraire des preuves ( art. 9 Cst. ) (acte de recours p. 22 ss). On ne distingue toutefois pas en quoi ce grief serait distinct de celui déjà tranché ci-dessus (cf. supra consid. 2) et il n'y a donc pas lieu d'y revenir.</w:t>
      </w:r>
    </w:p>
    <w:p>
      <w:r>
        <w:t>Les moyens tirés de la violation de l' art. 29 al. 2 Cst. et de l' art. 9 Cst. sont, pour autant qu'ils soient recevables, infondés.</w:t>
      </w:r>
    </w:p>
    <w:p>
      <w:r>
        <w:rPr>
          <w:b/>
        </w:rPr>
        <w:t>E. 5</w:t>
      </w:r>
    </w:p>
    <w:p>
      <w:r>
        <w:t>Enfin, la recourante fait état d'une violation des art. 23 ss et 28 CO , ainsi que de l' art. 59 CPC . On peine toutefois à saisir la logique de sa motivation, particulièrement touffue. On ne discerne en particulier pas comment la défenderesse pourrait se prévaloir d'un vice du consentement, notamment d'une erreur essentielle lors de la signature de l'accord du 4 mai 2012, puisque le contrat de leasing ne lui a pas été transféré et qu'elle n'y est donc pas partie.</w:t>
      </w:r>
    </w:p>
    <w:p>
      <w:r>
        <w:t>Le moyen tiré de la violation de l' art. 59 CPC - dans lequel la recourante reproche à la cour cantonale de ne pas avoir décliné sa compétence au vu de la clause d'arbitrage contenue dans la convention du 4 mai 2012 - appelle une observation similaire: le contrat de leasing n'ayant pas été préalablement cédé à la défenderesse, la demanderesse n'avait aucun intérêt à demander à cette dernière l'exécution de la convention du 4 mai 2012 (qui prévoyait la rétrocession du contrat de leasing) et, partant, la clause d'arbitrage contenue dans cet accord ne pouvait être mise en oeuvre.</w:t>
      </w:r>
    </w:p>
    <w:p>
      <w:r>
        <w:t>La critique se révèle donc sans consistance.</w:t>
      </w:r>
    </w:p>
    <w:p>
      <w:r>
        <w:rPr>
          <w:b/>
        </w:rPr>
        <w:t>E. 6</w:t>
      </w:r>
    </w:p>
    <w:p>
      <w:r>
        <w:t>Il résulte des considérations qui précèdent que le recours en matière civile doit être rejeté dans la mesure où il est recevable.</w:t>
      </w:r>
    </w:p>
    <w:p>
      <w:r>
        <w:t>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