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587/2024 vom 24. März 2025</w:t>
      </w:r>
    </w:p>
    <w:p>
      <w:r>
        <w:t>Bundesgericht, 2025-03-24, DE</w:t>
      </w:r>
    </w:p>
    <w:p>
      <w:r>
        <w:rPr>
          <w:b/>
        </w:rPr>
        <w:t xml:space="preserve">Quelle: </w:t>
      </w:r>
      <w:r>
        <w:t>https://mcp.opencaselaw.ch/entscheid/bger_4A_587_2024</w:t>
      </w:r>
    </w:p>
    <w:p>
      <w:r>
        <w:t>FR: TF 4A 587/2024 du 24 mars 2025</w:t>
      </w:r>
    </w:p>
    <w:p>
      <w:r>
        <w:t>IT: TF 4A 587/2024 del 24 marzo 2025</w:t>
      </w:r>
    </w:p>
    <w:p>
      <w:pPr>
        <w:pStyle w:val="Heading2"/>
      </w:pPr>
      <w:r>
        <w:t>Regeste</w:t>
      </w:r>
    </w:p>
    <w:p>
      <w:r>
        <w:t>Freiwillige Bezahlung einer Nichtschuld; Beweiswürdigung, | Vertragsrecht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 Die Beschwerde betrifft eine Zivilsache ( Art. 72 Abs. 1 BGG ) und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genügender Begründung ( Art. 42 Abs. 2 und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IIII 115 E. 2). Überdies muss die Behebung des Mangels für den Ausgang des Verfahrens entscheidend sein können ( Art. 97 Abs. 1 BGG ).</w:t>
      </w:r>
    </w:p>
    <w:p>
      <w:r>
        <w:rPr>
          <w:b/>
        </w:rPr>
        <w:t>E. 2.2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26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 564 E. 4.1; 135 III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Die Beschwerdeführerin beanstandet die Feststellung der Vorinstanz, dass die Akontozahlungen nicht von der Schlussrechnung abgezogen worden seien und der Beschwerdegegner damit eine Nichtschuld von Fr. 40'000.-- bezahlt habe.</w:t>
      </w:r>
    </w:p>
    <w:p>
      <w:r>
        <w:rPr>
          <w:b/>
        </w:rPr>
        <w:t>E. 3.1</w:t>
      </w:r>
    </w:p>
    <w:p>
      <w:r>
        <w:t>Die Vorinstanz stellte fest, die Beschwerdeführerin habe dem Beschwerdegegner auf der Schlussrechnung die Barzahlung unter dem ausgewiesenen Gesamtbetrag mit dem Vermerk "Betrag erhalten" handschriftlich quittiert. Die Beschwerdeführerin beanstande zwar, dass diese Quittung insofern unrichtig sei, als nicht der effektiv quittierte Betrag bezahlt worden sei, sondern nach Abzug der Akontozahlungen und des Rabattes ein entsprechend geringerer Betrag. An den Beweis der Unrichtigkeit einer Quittung seien jedoch aus Gründen der Rechtssicherheit hohe Anforderungen zu stellen. Dieser Grundsatz gelte erst recht, wenn - wie hier - die Schlussrechnung, auf welcher der Erhalt des Betrages handschriftlich quittiert worden sei, einen hohen Detaillierungsgrad aufweise. Zudem entspreche es den kaufmännischen Gepflogenheiten, dass geleistete Akontozahlungen in Schlussrechnungen gesondert ausgewiesen und in Abzug gebracht würden. Vor diesem Hintergrund spreche eine starke tatsächliche Vermutung für die Richtigkeit der Darstellung des Beschwerdegegners. Dieser habe in seiner Einvernahme ausgeführt, Herrn C.________ Fr. 75'000.-- in bar bezahlt zu haben. Demgegenüber habe Herr C.________ in seiner Einvernahme schliesslich eingeräumt, dass er sich nicht mehr erinnern könne, welcher Betrag in bar bezahlt worden sei. Vor diesem Hintergrund habe die Einvernahme nichts ergeben, was die streitige Tatsachenvermutung relativieren könnte. Es sei daher davon auszugehen, dass die Akontozahlung nicht in Abzug gebracht worden sei.</w:t>
      </w:r>
    </w:p>
    <w:p>
      <w:r>
        <w:rPr>
          <w:b/>
        </w:rPr>
        <w:t>E. 3.2</w:t>
      </w:r>
    </w:p>
    <w:p>
      <w:r>
        <w:t>Tatsächliche (oder natürliche) Vermutungen stellen Schlussfolgerungen dar, die aufgrund der Lebenserfahrung gezogen werden. Sie bewirken keine Umkehr der Beweislast zu Gunsten des Vermutungsträgers, sondern betreffen die Beweiswürdigung ( BGE 130 II 482 E. 3.2 mit Hinweisen; Urteil 4A_183/2020 vom 6. Mai 2021 E. 4.1). Sie mildern die konkrete Beweisführungslast der beweisbelasteten Partei: Der Vermutungsträger kann den ihm obliegenden (Haupt-) Beweis unter Berufung auf die tatsächliche Vermutung erbringen ( BGE 141 III 241 E. 3.2.2). Um die tatsächliche Vermutung zu entkräften, muss der Vermutungsgegner nicht den Beweis des Gegenteils antreten. Er kann sich mit dem Nachweis von Zweifeln an der Richtigkeit der Indizien (Vermutungsbasis) oder der daraus gezogenen Schlussfolgerung (Vermutungsfolge) begnügen (vgl. BGE 141 III 241 E. 3.2.2; 135 II 161 E. 3 mit Hinweisen). Gelingt dies dem Vermutungsgegner, so greift die tatsächliche Vermutung nicht mehr und der Beweis ist gescheitert. Es stellt sich, sofern der Vermutungsgegner nicht weitergehend das Gegenteil beweist, die Beweislosigkeit ein, deren Folgen den beweisbelasteten Vermutungsträger treffen ( BGE 141 III 241 E. 3.2.2 mit Hinweisen; Urteil 4A_183/2020 vom 6. Mai 2021 E. 4.1).</w:t>
      </w:r>
    </w:p>
    <w:p>
      <w:r>
        <w:rPr>
          <w:b/>
        </w:rPr>
        <w:t>E. 3.3</w:t>
      </w:r>
    </w:p>
    <w:p>
      <w:r>
        <w:t>Die Beschwerdeführerin rügt, die Vorinstanz habe mit ihrer Argumentation in bundesrechtswidriger Weise eine Beweislastumkehr in Bezug auf die quittierte Schlussrech nung vorgenommen. Sie sei davon ausgegangen, dass die Quittung allein als Beweis dafür genüge, dass der Beschwerdegegner der Beschwerdeführerin den Betrag von Fr. 75'244.60 tatsächlich bezahlt habe. Dies wäre aber nur dann richtig, wenn man irrtümlich davon ausginge, dass die Quittung die gesetzliche Vermutung der Tilgung der quittierten Schuld begründe und die Quittung somit zur Umkehr der Beweislast führe.</w:t>
      </w:r>
    </w:p>
    <w:p>
      <w:r>
        <w:rPr>
          <w:b/>
        </w:rPr>
        <w:t>E. 3.4</w:t>
      </w:r>
    </w:p>
    <w:p>
      <w:r>
        <w:t>Soweit die Beschwerdeführerin in ihren Beanstandungen nicht ohnehin den von der Vorinstanz festgestellten Sachverhalt nach Belieben in unzulässiger Weise ergänzt, ist die Rüge unbegründet. Die Vorinstanz ist nicht von einer gesetzlichen Vermutung und damit einer Beweislastumkehr ausgegangen. Vielmehr hat sie angenommen, dass die Vorlage einer gehörigen Quittung die tatsächliche Vermutung der Bezahlung des quittierten Betrages begründet. Damit wurde keineswegs eine Beweislastumkehr vorgenommen. Vielmehr würdigte die Vorinstanz den Gegenbeweis in Form der Zeugenaussage von Herrn C.________ dahingehend, dass dieser die Richtigkeit der Quittung nicht erschüttere. Diese Beweiswürdigung vermag die Beschwerdeführerin mit ihren rein appellatorischen Ausführungen nicht als willkürlich auszuweisen. Angesichts der tatsächlichen Vermutung der Richtigkeit einer Quittung war es sodann nicht geradezu willkürlich, wenn die Vorinstanz die Aussagen des Beschwerdegegners keiner weiteren Würdigung unterzogen hat. Ebenso wenig ist eine Verletzung der Begründungspflicht ersichtlich, durfte sich die Vorinstanz nach gehörsrechtlichen Grundsätzen doch auf die für den Entscheid wesentlichen Punkte beschränken ( BGE 150 III 1 E. 4.5; 148 III 30 E. 3.1; 147 IV 409 E. 5.3.4; 145 III 324 E. 6.1).</w:t>
      </w:r>
    </w:p>
    <w:p>
      <w:r>
        <w:rPr>
          <w:b/>
        </w:rPr>
        <w:t>E. 4</w:t>
      </w:r>
    </w:p>
    <w:p>
      <w:r>
        <w:t>Schliesslich wendet sich die Beschwerdeführerin gegen die Feststellung der Vorinstanz, dass Herr C.________ den Beschwerdegegner unmissverständlich zur sofortigen Zahlung aufgefordert und dabei einen Druck auf ihn ausgeübt habe, der dessen Entscheidungsfreiheit beeinträchtigt und ihn irrigerweise im Glauben gelassen habe, der Inhalt der Quittung sei korrekt. Die entsprechenden Beanstandungen erschöpfen sich in einer appellatorischen Beweiswürdigung aus eigener Sicht, welche die Beschwerdeführerin der vorinstanzlichen Beweiswürdigung entgegenstellt. Willkür vermag sie damit nicht aufzuzeigen. Die Sachverhaltsrüge ist, soweit sie überhaupt zulässig ist, unbegründet. Auch in diesem Zusammenhang lässt sich entgegen den Behauptungen der Beschwerdeführerin keine Verletzung des Anspruchs auf rechtliches Gehör erkennen, da wie bereits erwähnt, die Vorinstanz sich auf die für den Entscheid wesentlichen Punkte beschränken durfte und sich nicht mit sämtlichen Einwänden der Beschwerdeführerin einlässlich auseinandersetzen musste (vgl. BGE 150 III 1 E. 4.5; 148 III 30 E. 3.1; 147 IV 409 E. 5.3.4; 145 III 324 E. 6.1).</w:t>
      </w:r>
    </w:p>
    <w:p>
      <w:r>
        <w:rPr>
          <w:b/>
        </w:rPr>
        <w:t>E. 5</w:t>
      </w:r>
    </w:p>
    <w:p>
      <w:r>
        <w:t>Die Beschwerde ist nach dem Gesagten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