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587/2023 vom 20. August 2024</w:t>
      </w:r>
    </w:p>
    <w:p>
      <w:r>
        <w:t>Bundesgericht, 2024-08-20, FR</w:t>
      </w:r>
    </w:p>
    <w:p>
      <w:r>
        <w:rPr>
          <w:b/>
        </w:rPr>
        <w:t xml:space="preserve">Quelle: </w:t>
      </w:r>
      <w:r>
        <w:t>https://mcp.opencaselaw.ch/entscheid/bger_4A_587_2023</w:t>
      </w:r>
    </w:p>
    <w:p>
      <w:r>
        <w:t>FR: TF 4A 587/2023 du 20 août 2024</w:t>
      </w:r>
    </w:p>
    <w:p>
      <w:r>
        <w:t>IT: TF 4A 587/2023 del 20 agosto 2024</w:t>
      </w:r>
    </w:p>
    <w:p>
      <w:pPr>
        <w:pStyle w:val="Heading2"/>
      </w:pPr>
      <w:r>
        <w:t>Regeste</w:t>
      </w:r>
    </w:p>
    <w:p>
      <w:r>
        <w:t>contrat de travail; interprétation de la volonté des parties; droit aux vacances; congé abusif, | Droit des contrats</w:t>
      </w:r>
    </w:p>
    <w:p>
      <w:pPr>
        <w:pStyle w:val="Heading2"/>
      </w:pPr>
      <w:r>
        <w:t>Erwägungen</w:t>
      </w:r>
    </w:p>
    <w:p>
      <w:r>
        <w:rPr>
          <w:b/>
        </w:rPr>
        <w:t>E. 1</w:t>
      </w:r>
    </w:p>
    <w:p>
      <w:r>
        <w:t>Interjeté dans le délai fixé par la loi ( art. 100 al. 1 et art. 45 al. 1 LTF ) par la demanderesse, qui a partiellement succombé dans ses conclusions ( art. 76 al. 1 LTF ), et dirigé contre une décision finale ( art. 90 LTF ) rendue sur appel par le tribunal supérieur du canton de Genève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La recourante sollicite le complètement de l'état de fait constaté par la cour cantonale sur cinq points, invoquant en substance (1) qu'elle aurait apporté de nouveaux clients à l'intimée, (2) qu'elle aurait été en incapacité de travail du 31 mai à octobre 2020, (3) qu'un témoin aurait déclaré qu'un autre travailleur aurait eu des chiffres inférieurs à ceux de l'intimée en 2018, (4) que D.________ lui aurait demandé, à la fin de l'année 2019 et pour la première fois, des rapports de visite, et (5) qu'un important client aurait résilié son mandat avec l'intimée en février 2019. Les trois premiers éléments ne sont pas déterminants pour l'issue du litige, de sorte que l'état de fait ne sera pas complété sur ces points. S'agissant des deux derniers éléments, ils ont été, en substance, retenus par la cour cantonale, de sorte que la demande de complètement de la recourante est privée de fondement.</w:t>
      </w:r>
    </w:p>
    <w:p>
      <w:r>
        <w:rPr>
          <w:b/>
        </w:rPr>
        <w:t>E. 3</w:t>
      </w:r>
    </w:p>
    <w:p>
      <w:r>
        <w:t>Dans un premier temps, la recourante reproche à la cour cantonale d'avoir violé l' art. 18 CO en interprétant les dispositions contractuelles relatives à la prime sur ROA selon le principe de la confiance.</w:t>
      </w:r>
    </w:p>
    <w:p>
      <w:r>
        <w:rPr>
          <w:b/>
        </w:rPr>
        <w:t>E. 3.1.1</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 ATF 144 III 93 consid. 5.2.1; 123 III 35 consid. 2b; arrêt 4A_269/2022 du 5 octobre 2022 consid. 3.1.2 et les arrêts cités).</w:t>
      </w:r>
    </w:p>
    <w:p>
      <w:r>
        <w:rPr>
          <w:b/>
        </w:rPr>
        <w:t>E. 3.1.2</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La cour cantonale a relevé que les parties s'opposaient sur la manière dont était calculée la prime sur ROA, et notamment sur la prise en compte de la part patronale des charges sociales. Elle a constaté que, durant toute la durée du contrat, les parties avaient déduit la part patronale des charges sociales pour déterminer le montant maximal du bonus de la travailleuse. Elle a estimé que la travailleuse, professionnelle de la finance, pouvait aisément identifier cela, dès lors que le montant apparaissant sous " coût salarial " était sensiblement supérieur au montant du salaire brut qu'elle percevait. Elle a jugé que cette conclusion s'imposait d'autant plus que la travailleuse contrôlait les décomptes qui lui étaient remis et avait sollicité à plusieurs reprises leur correction. Dans la mesure où la travailleuse ne pouvait ignorer que la part patronale des charges sociales était prise en compte dans le calcul de la prime et où elle n'avait élevé aucune contestation à ce sujet avant que sa rémunération ne baissât substantiellement en 2019 en raison de la perte d'un client important, et ce alors qu'elle n'avait pas manqué de demander que d'autres corrections fussent effectuées, la cour cantonale a retenu que la " volonté commune et concordante des parties " était de tenir compte de la part patronale des charges sociales dans le calcul du montant maximal de la prime de la travailleuse. Elle a ainsi annulé le jugement de première instance, en tant qu'il condamnait l'employeuse à payer un solde de rémunération à la travailleuse à titre de " primes sur ROA ".</w:t>
      </w:r>
    </w:p>
    <w:p>
      <w:r>
        <w:rPr>
          <w:b/>
        </w:rPr>
        <w:t>E. 3.3</w:t>
      </w:r>
    </w:p>
    <w:p>
      <w:r>
        <w:t>En substance, la recourante considère que l'intention réelle des parties et les dispositions contractuelles étaient claires, en ce sens que la part patronale des charges sociales ne devait pas être prise en compte pour limiter le montant de la prime sur ROA. Elle estime que le recours au principe de la confiance opéré par la cour cantonale n'était d'aucune utilité et contrevient donc à l' art. 18 CO . Elle soutient également que l'autorité précédente aurait dû recourir au principe " in dubio contra stipulatorem ".</w:t>
      </w:r>
    </w:p>
    <w:p>
      <w:r>
        <w:rPr>
          <w:b/>
        </w:rPr>
        <w:t>E. 3.4</w:t>
      </w:r>
    </w:p>
    <w:p>
      <w:r>
        <w:t>Contrairement à ce qu'invoque la recourante et comme l'indique à juste titre l'intimée, la cour cantonale a constaté la réelle et commune intention des parties en se fondant sur leur comportement après qu'elles sont convenues des clauses contractuelles litigieuses. Elle n'a donc pas interprété leur volonté selon le principe de la confiance, étant rappelé que la prise en compte dudit comportement n'aurait en outre pas été permise dans le contexte d'une interprétation selon le principe de la confiance (arrêts 4A_593/2023 du 20 août 2024 consid. 3.4; 4A_227/2020 du 28 janvier 2021 consid. 3.3.3). Dès lors que la recourante n'invoque ni n'établit dans son recours que la cour cantonale aurait arbitrairement constaté la réelle et commune intention des parties et que le principe " in dubio contra stipulatorem " ne s'applique que subsidiairement à l'interprétation selon le principe de la confiance ( ATF 133 III 61 consid. 2.2.2.3; 122 III 118 consid. 2a), son grief doit être rejeté. La recourante semble avoir tenté de pallier les manquements de sa critique dans sa réplique, en soutenant que rien ne permettait de penser, comme l'avait fait arbitrairement la cour cantonale, que l'intention des parties était de tenir compte des charges patronales dans le calcul de la prime. Toutefois, une telle argumentation est tardive, dans la mesure où elle aurait déjà pu être présentée au stade du recours ( ATF 135 I 19 consid. 2.2 et les arrêts cités) et où ladite réplique a été déposée après l'expiration du délai de recours ( ATF 142 I 135 consid. 1.2.1). Partant, il ne peut en être tenu compte.</w:t>
      </w:r>
    </w:p>
    <w:p>
      <w:r>
        <w:rPr>
          <w:b/>
        </w:rPr>
        <w:t>E. 4</w:t>
      </w:r>
    </w:p>
    <w:p>
      <w:r>
        <w:t>Dans un deuxième temps, la recourante fait grief à la cour cantonale d'avoir violé les art. 329a ss CO en retenant qu'elle n'avait le droit à aucune indemnité au titre de vacances non prises.</w:t>
      </w:r>
    </w:p>
    <w:p>
      <w:r>
        <w:rPr>
          <w:b/>
        </w:rPr>
        <w:t>E. 4.1</w:t>
      </w:r>
    </w:p>
    <w:p>
      <w:r>
        <w:t>La cour cantonale a retenu que le droit aux vacances de la travailleuse était de 25 jours par année civile, de sorte qu'il était de 10,42 jours (25 jours x [5 mois / 12 mois]) pour la période de janvier à mai 2020 correspondant au délai de congé durant lequel elle avait été libérée de son obligation de travailler. Elle a constaté que ledit délai de congé comprenait 104 jours ouvrables et que, après déduction des jours ouvrables durant lesquels la travailleuse avait été en arrêt maladie, la période du délai de congé durant laquelle la travailleuse avait été capable de travailler - et donc de prendre des vacances - avait duré 53 jours. Dans la mesure où le droit aux vacances de la travailleuse de 10,42 jours constituait moins d'un quart de la période durant laquelle elle avait été libérée de son obligation de travailler et n'était pas en incapacité de travailler, la cour cantonale a retenu que les vacances pouvaient être prises durant le délai de congé, soit en d'autres termes qu'elles avaient été compensées par la libération de l'obligation de travailler dont avait bénéficié la travailleuse, de sorte qu'elle n'avait droit à aucune indemnité à ce titre. Elle a retenu que cette conclusion s'imposait d'autant plus que la travailleuse n'avait pas allégué qu'elle avait rencontré des difficultés particulières à retrouver un emploi.</w:t>
      </w:r>
    </w:p>
    <w:p>
      <w:r>
        <w:rPr>
          <w:b/>
        </w:rPr>
        <w:t>E. 4.2</w:t>
      </w:r>
    </w:p>
    <w:p>
      <w:r>
        <w:t>La recourante soutient que la cour cantonale n'a pas pris en compte le fait que son incapacité de travail s'était prolongée bien au-delà de la fin des rapports de travail, soit jusqu'au mois d'octobre 2020, ce qui démontrerait qu'elle avait été très affectée par son licenciement.</w:t>
      </w:r>
    </w:p>
    <w:p>
      <w:r>
        <w:rPr>
          <w:b/>
        </w:rPr>
        <w:t>E. 4.3</w:t>
      </w:r>
    </w:p>
    <w:p>
      <w:r>
        <w:t>Par cette critique, la recourante ne s'en prend pas à l'argumentation de la cour cantonale, qui a considéré que les 10,42 jours de vacances qu'elle n'avait pas pris constituaient moins d'un quart de la période durant laquelle elle avait été libérée de son obligation de travailler et n'était pas en incapacité de travail, de sorte qu'ils avaient été compensés par la libération de l'obligation de travailler dont elle avait bénéficié. La situation médicale de la recourante après la fin des rapports de travail n'est donc pas ici déterminante et son grief doit être rejeté.</w:t>
      </w:r>
    </w:p>
    <w:p>
      <w:r>
        <w:rPr>
          <w:b/>
        </w:rPr>
        <w:t>E. 5</w:t>
      </w:r>
    </w:p>
    <w:p>
      <w:r>
        <w:t>Dans un troisième et dernier temps, la recourante reproche à la cour cantonale d'avoir nié l'existence d'un congé abusif et d'avoir ainsi violé les art. 336 CO et 8 CC.</w:t>
      </w:r>
    </w:p>
    <w:p>
      <w:r>
        <w:rPr>
          <w:b/>
        </w:rPr>
        <w:t>E. 5.1.1</w:t>
      </w:r>
    </w:p>
    <w:p>
      <w:r>
        <w:t>Selon l' art. 335 al. 1 CO ,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150 III 78 consid. 3.1.1; 136 III 513 consid. 2.3; 132 III 115 consid. 2.1; 131 III 535 consid. 4.1; 130 III 699 consid. 4.1). Aux termes de l' art. 336 al. 1 let .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 ATF 136 III 513 consid. 2.4; arrêts 4A_3/2023 du 30 août 2023 consid. 4.1; 4A_39/2023 du 14 février 2023 consid. 3.2).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(arrêts 4A_215/2022 du 23 août 2022 consid. 4.1; 4A_437/2015 du 4 décembre 2015 consid. 2.2.3 et les arrêts cités; 4A_316/2012 du 1er novembre 2012 consid. 2.1). Déterminer quels sont les motifs réels d'une résiliation est une question de fait ( ATF 136 III 513 consid. 2.3; 131 III 535 consid. 4.3; 130 III 699 consid. 4.1). De même, l'incidence respective des divers motifs de résiliation en concours est une question qui relève de la causalité naturelle, et par conséquent du fait ( ATF 130 III 699 consid. 4.1 et les arrêts cités; arrêts 4A_215/2022 précité consid. 4.1; 4A_437/2015 précité consid. 2.2.4). Ainsi, les constatations y relatives de l'autorité précédente lient le Tribunal fédéral, qui ne peut s'en écarter que si elles ont été établies de façon manifestement inexacte ou en violation du droit (arrêts 4A_215/2022 précité consid. 4.1; 4A_437/2015 précité consid. 2.2.4 et les arrêts cités). En vertu de l' art. 8 CC , la partie congédiée doit prouver le caractère abusif du congé ( ATF 123 III 246 consid. 4b; arrêt 4A_437/2015 du 4 décembre 2015 consid. 2.2.5).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 ATF 130 III 699 consid. 4.1; arrêt 4A_437/2015 précité consid. 2.2.5).</w:t>
      </w:r>
    </w:p>
    <w:p>
      <w:r>
        <w:rPr>
          <w:b/>
        </w:rPr>
        <w:t>E. 5.1.2</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arrêts 4A_228/2022 du 27 septembre 2022 consid. 3.1.1; 4A_378/2021 du 12 octobre 2021 consid. 4.1 et les références citées). Lorsque l'appréciation des preuves convainc le juge qu'un fait est établi ou réfuté, la question de la répartition du fardeau de la preuve ne se pose plus et le grief tiré de la violation de l' art. 8 CC devient sans objet ( ATF 141 III 241 consid. 3.2; 130 III 591 consid. 5.4; arrêt 4A_303/2023 du 26 mars 2024 consid. 4.1.2).</w:t>
      </w:r>
    </w:p>
    <w:p>
      <w:r>
        <w:rPr>
          <w:b/>
        </w:rPr>
        <w:t>E. 5.2</w:t>
      </w:r>
    </w:p>
    <w:p>
      <w:r>
        <w:t>La cour cantonale a retenu que, malgré la proximité temporelle entre la demande en justice de la travailleuse et son licenciement, l'existence d'un lien causal entre ces deux événements n'était pas établie, dans la mesure où aucun indice ne l'étayait. La cour cantonale a également jugé que la travailleuse, qui supporte le fardeau de la preuve quant au caractère abusif du licenciement, n'était pas parvenue à apporter des indices suffisants du caractère abusif de son licenciement ni de l'inexistence des motifs de licenciement allégués par l'employeuse. Elle a également retenu qu'aucun élément allégué par la travailleuse ne permettait de mettre en doute les motifs exposés par l'employeuse, de sorte qu'elle a estimé plausible que le licenciement reposât sur ceux-ci. Elle a constaté que les relations entre les parties s'étaient dégradées depuis que la travailleuse avait perdu un important client en février 2019 et que cela ressortait tant du ton utilisé dans les échanges de courriels relatifs au calcul de la prime que du fait que l'employeuse avait demandé à la travailleuse d'établir désormais des rapports de ses visites avec les clients et les prospects. Elle a considéré que D.________ avait exposé de manière crédible qu'il avait perdu confiance en la travailleuse, qu'il n'avait pas eu l'impression que celle-ci était toujours investie dans son travail et que les notes de frais de la travailleuse n'étaient pas assez détaillées, malgré les directives données à cet égard. Elle en a conclu que la dégradation de la qualité des relations de travail couplée à l'importante diminution de la profitabilité de la travailleuse pouvaient, de concert avec la perte de confiance alléguée, avoir entraîné la volonté de l'employeuse de mettre fin au contrat de travail la liant à la travailleuse.</w:t>
      </w:r>
    </w:p>
    <w:p>
      <w:r>
        <w:rPr>
          <w:b/>
        </w:rPr>
        <w:t>E. 5.3</w:t>
      </w:r>
    </w:p>
    <w:p>
      <w:r>
        <w:t>Dans un premier moyen, la recourante invoque que le motif retenu par la cour cantonale ne correspond pas à ceux donnés au moment de son licenciement, soit une baisse de ses performances et le non respect des procédures internes, ou à ceux allégués par l'intimée, soit l'absence de toute volonté de remédier à une situation non viable. Tel n'est toutefois pas le cas. En effet, la cour cantonale a, en substance, retenu comme motifs de résiliation l'importante diminution de la profitabilité de la travailleuse - ce qui correspond à la baisse de ses performances - ainsi que la dégradation de la qualité des relations de travail et la perte de confiance de l'employeuse - soit l'absence de volonté de la travailleuse de remédier à la situation. La cour cantonale a également retenu que D.________ avait exposé de manière crédible que les notes de frais de la travailleuse n'étaient pas assez détaillées, malgré les directives données à cet égard, de sorte qu'elle a également admis que la travailleuse recourante n'avait pas respecté les procédures internes applicables. Celle-ci n'invoque par ailleurs pas que les motifs allégués par l'intimée en procédure l'auraient été tardivement. Ce premier moyen doit donc être rejeté.</w:t>
      </w:r>
    </w:p>
    <w:p>
      <w:r>
        <w:rPr>
          <w:b/>
        </w:rPr>
        <w:t>E. 5.4</w:t>
      </w:r>
    </w:p>
    <w:p>
      <w:r>
        <w:t>Dans un deuxième moyen, la recourante semble contester les motifs de congé donnés par l'intimée et retenus par la cour cantonale.</w:t>
      </w:r>
    </w:p>
    <w:p>
      <w:r>
        <w:rPr>
          <w:b/>
        </w:rPr>
        <w:t>E. 5.4.1</w:t>
      </w:r>
    </w:p>
    <w:p>
      <w:r>
        <w:t>La recourante invoque avoir demandé des explications en lien avec ses primes en toute bonne foi, qu'elle n'a reçu aucune explication précise à ses questions et que les représentants de l'intimée ont agi " de très mauvaise foi ". En substance, elle allègue que les relations contractuelles se sont déroulées sereinement jusqu'au moment où elle a commencé à demander des explications à l'intimée sur la façon dont ses primes avaient été calculées et qu'à partir du 22 juillet 2019, l'intimée a mis en place les jalons en vue de son licenciement en lui demandant successivement d'utiliser dorénavant un formulaire pour le rapport annuel de ses prospects deux jours avant son départ en vacances et d'effectuer des rapports de visite. Elle estime en outre que la perte d'un client important et sa prétendue baisse de performances n'étaient pas en lien avec son motif de licenciement, dès lors que le licenciement avait été prononcé près d'un an après la perte dudit client et que les actifs sous gestion et les revenus en lien avec ceux-ci étaient supérieurs à ceux d'un collègue qui n'a pas été licencié. Elle soutient par ailleurs que rien dans le dossier n'indiquerait qu'elle n'aurait pas respecté les procédures internes, dès lors que D.________ lui aurait demandé pour la première fois de remplir des rapports de visite le 20 novembre 2019, soit deux jours à peine avant son départ en vacances, et qu'il lui était donc " quasiment impossible de répondre à cette demande ".</w:t>
      </w:r>
    </w:p>
    <w:p>
      <w:r>
        <w:rPr>
          <w:b/>
        </w:rPr>
        <w:t>E. 5.4.2</w:t>
      </w:r>
    </w:p>
    <w:p>
      <w:r>
        <w:t>Tout d'abord, force est de constater que la cour cantonale a retenu que C.________ et D.________ avaient donné des explications détaillées à la travailleuse suite aux questions de celle-ci, que la travailleuse n'avait pas respecté les procédures internes applicables (cf. supra consid. 5.3) et que la recourante ne soutient ni n'établit que ces constatations seraient arbitraires. Pour le reste, la recourante se contente d'opposer sa version des faits à celle retenue par la cour cantonale. Appellatoire, cette démarche est irrecevable.</w:t>
      </w:r>
    </w:p>
    <w:p>
      <w:r>
        <w:rPr>
          <w:b/>
        </w:rPr>
        <w:t>E. 5.5</w:t>
      </w:r>
    </w:p>
    <w:p>
      <w:r>
        <w:t>Dans un dernier moyen, la recourante considère que la cour cantonale a violé l' art. 8 CC en retenant de manière arbitraire la thèse de l'intimée fondée partiellement sur des faits non prouvés. Faisant valoir une violation de l' art. 336 CO , elle invoque également que la cour cantonale a ignoré la chronologie des faits et la proximité temporelle entre ses réclamations et son licenciement, alors que la succession des événements constituerait des indices clairs confirmant que l'intimée l'a licenciée en réaction à ses demandes et donc de façon " hautement abusive ". La recourante perd toutefois de vue qu'elle supportait le fardeau de la preuve du caractère abusif de son licenciement et que la cour cantonale a retenu qu'elle n'était pas parvenue à apporter des indices suffisants dudit caractère abusif ou de l'inexistence des motifs de licenciement allégués par l'employeuse. Dans la mesure où elle tente de revenir sur l'appréciation des preuves effectuée par la cour cantonale, force est de constater qu'elle n'en établit pas le caractère insoutenable et, donc, arbitraire. Ce dernier moyen doit donc être rejeté.</w:t>
      </w:r>
    </w:p>
    <w:p>
      <w:r>
        <w:rPr>
          <w:b/>
        </w:rPr>
        <w:t>E. 5.6</w:t>
      </w:r>
    </w:p>
    <w:p>
      <w:r>
        <w:t>Compte tenu des griefs soulevés par la recourante, la cour cantonale n'a donc pas violé le droit fédéral en retenant que le congé n'était pas abusif.</w:t>
      </w:r>
    </w:p>
    <w:p>
      <w:r>
        <w:rPr>
          <w:b/>
        </w:rPr>
        <w:t>E. 6</w:t>
      </w:r>
    </w:p>
    <w:p>
      <w:r>
        <w:t>Au vu de ce qui précède, le recours doit être rejeté, dans la mesure de sa recevabilité.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