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4A_587/2012 vom 9. Januar 2013</w:t>
      </w:r>
    </w:p>
    <w:p>
      <w:r>
        <w:t>Bundesgericht, 2013-01-09, FR</w:t>
      </w:r>
    </w:p>
    <w:p>
      <w:r>
        <w:rPr>
          <w:b/>
        </w:rPr>
        <w:t xml:space="preserve">Quelle: </w:t>
      </w:r>
      <w:r>
        <w:t>https://mcp.opencaselaw.ch/entscheid/bger_4A_587_2012</w:t>
      </w:r>
    </w:p>
    <w:p>
      <w:r>
        <w:t>FR: TF 4A_587/2012 du 9 janvier 2013</w:t>
      </w:r>
    </w:p>
    <w:p>
      <w:r>
        <w:t>IT: TF 4A_587/2012 del 9 gennaio 2013</w:t>
      </w:r>
    </w:p>
    <w:p>
      <w:pPr>
        <w:pStyle w:val="Heading2"/>
      </w:pPr>
      <w:r>
        <w:t>Erwägungen</w:t>
      </w:r>
    </w:p>
    <w:p>
      <w:r>
        <w:rPr>
          <w:b/>
        </w:rPr>
        <w:t>E. 1</w:t>
      </w:r>
    </w:p>
    <w:p>
      <w:r>
        <w:t>Dans le recours adressé au Tribunal fédéral, les conclusions tendant à la constatation des montants en litige sont nouvelles et donc irrecevables au regard de l' art. 99 al. 2 LTF ; elles sont d'ailleurs inutiles. Contrairement à l'opinion de la demanderesse, la motivation du recours satisfait aux exigences de l' art. 42 al. 1 et 2 LTF . Les autres conditions de recevabilité du recours en matière civile sont par ailleurs satisfaites; en particulier, le recours est dirigé contre une décision finale ( art. 90 LTF ) et la valeur litigieuse minimale est atteinte ( art. 74 al. 1 let. b LTF ).</w:t>
      </w:r>
    </w:p>
    <w:p>
      <w:r>
        <w:rPr>
          <w:b/>
        </w:rPr>
        <w:t>E. 2</w:t>
      </w:r>
    </w:p>
    <w:p>
      <w:r>
        <w:t>Le code de procédure civile unifié (CPC) est entré en vigueur le 1er janvier 2011 alors que la cause était pendante devant le Tribunal de première instance. Par l'effet des art. 404 al. 1 et 405 al. 1 CPC, la procédure de première instance est demeurée soumise au droit cantonal antérieur tandis que l'appel était régi par le code unifié.</w:t>
      </w:r>
    </w:p>
    <w:p>
      <w:r>
        <w:t>Selon la jurisprudence relative à l' art. 311 CPC , l'appel doit non seulement être « écrit et motivé »,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 ATF 137 III 617 consid. 4.2 et 4.3 p. 618).</w:t>
      </w:r>
    </w:p>
    <w:p>
      <w:r>
        <w:rPr>
          <w:b/>
        </w:rPr>
        <w:t>E. 3</w:t>
      </w:r>
    </w:p>
    <w:p>
      <w:r>
        <w:t>En l'espèce, la Cour de justice tient les conclusions de l'acte d'appel pour irrecevables et elle refuse d'entrer en matière pour ce motif. Selon ses considérants, « l'appelante n'indique pas précisément quels points du dispositif de la décision attaquée elle conteste et quelles modifications elle demande; en fait, les conclusions formulées en appel ne se réfèrent aucunement au jugement querellé ». De surcroît, selon la Cour, les conclusions prises en première instance le 2 décembre 2011 ont été modifiées de manière inadmissible en ce sens qu'elles incluaient formellement des prétentions reconventionnelles et que ces prétentions ont été « transformées », en appel, en conclusions de nature constatatoire sur la demande principale.</w:t>
      </w:r>
    </w:p>
    <w:p>
      <w:r>
        <w:t>Les conclusions ainsi critiquées sont en effet confuses et défectueuses; en particulier, le mandataire chargé de les rédiger a varié dans ses énoncés successifs et il confond, de toute évidence, les prétentions en réduction du prix opposables à l'action principale, les prétentions en dommages-intérêts elles aussi opposables à cette action, en tant qu'elles doivent simplement compenser le prix encore dû après réduction, et le solde de ces mêmes prétentions qui peut être l'objet d'une action reconventionnelle.</w:t>
      </w:r>
    </w:p>
    <w:p>
      <w:r>
        <w:t>Néanmoins, on reconnaît sans équivoque que la défenderesse veut n'être pas condamnée à payer 79'885 fr.95 à son adverses partie, ni aucun autre montant même inférieur, et qu'elle veut non plus ne pas devoir tolérer l'inscription d'une hypothèque d'entrepreneur sur son immeuble. Sur ces deux points, ses conclusions sont demeurées constantes dès le début de la contestation et elles se rapportent précisément à l'objet de l'action principale et du jugement de première instance. Elles ne comportent aucune amplification qui soit inadmissible en appel. A cet égard, contrairement à l'appréciation de la Cour, les conclusions d'appel sont donc recevables au regard de l' art. 311 CPC .</w:t>
      </w:r>
    </w:p>
    <w:p>
      <w:r>
        <w:t>Pour le surplus, il apparaît effectivement qu'en appel, la défenderesse ne réclame pas de manière suffisamment précise, donc pas de manière recevable, un paiement de son adverse partie. Seule l'action principale demeure donc litigieuse devant la Cour de justice, à l'exclusion de l'action reconventionnelle.</w:t>
      </w:r>
    </w:p>
    <w:p>
      <w:r>
        <w:t>En conséquence, la cause doit être renvoyée à cette autorité afin que celle-ci examine si la motivation de l'appel est suffisante - au delà de quelques commentaires, ce sujet n'est pas discuté dans la décision attaquée - et si les autres conditions de recevabilité sont satisfaites; dans l'affirmative, la Cour se saisira de cet appel et elle contrôlera le jugement rendu sur l'action principale.</w:t>
      </w:r>
    </w:p>
    <w:p>
      <w:r>
        <w:rPr>
          <w:b/>
        </w:rPr>
        <w:t>E. 4</w:t>
      </w:r>
    </w:p>
    <w:p>
      <w:r>
        <w:t>Le recours est ainsi admis, dans la mesure où les conclusions présentées sont recevables. A titre de partie qui succombe, la demanderesse doit acquitter l'émolument à percevoir par le Tribunal fédéral et les dépens auxquels la défenderesse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