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586/2009 vom 11. Februar 2010</w:t>
      </w:r>
    </w:p>
    <w:p>
      <w:r>
        <w:t>Bundesgericht, 2010-02-11, FR</w:t>
      </w:r>
    </w:p>
    <w:p>
      <w:r>
        <w:rPr>
          <w:b/>
        </w:rPr>
        <w:t xml:space="preserve">Quelle: </w:t>
      </w:r>
      <w:r>
        <w:t>https://mcp.opencaselaw.ch/entscheid/bger_4A_586_2009</w:t>
      </w:r>
    </w:p>
    <w:p>
      <w:r>
        <w:t>FR: TF 4A 586/2009 du 11 février 2010</w:t>
      </w:r>
    </w:p>
    <w:p>
      <w:r>
        <w:t>IT: TF 4A 586/2009 del 11 febbraio 2010</w:t>
      </w:r>
    </w:p>
    <w:p>
      <w:pPr>
        <w:pStyle w:val="Heading2"/>
      </w:pPr>
      <w:r>
        <w:t>Regeste</w:t>
      </w:r>
    </w:p>
    <w:p>
      <w:r>
        <w:t>nantissement | Droit des obligations (en général)</w:t>
      </w:r>
    </w:p>
    <w:p>
      <w:pPr>
        <w:pStyle w:val="Heading2"/>
      </w:pPr>
      <w:r>
        <w:t>Erwägungen</w:t>
      </w:r>
    </w:p>
    <w:p>
      <w:r>
        <w:rPr>
          <w:b/>
        </w:rPr>
        <w:t>E. 1</w:t>
      </w:r>
    </w:p>
    <w:p>
      <w:r>
        <w:t>Le recours en matière civile présentement soumis à l'examen du Tribunal fédéral est dirigé contre une décision par laquelle l'autorité cantonale de dernière instance a mis fin à une cause civile portant sur un montant de 150'000 fr.; en conséquence, il est recevable (cf. art. 51 al. 1 let. a, art. 72 al. 1, art. 74 al. 1 let. b et art. 75 al. 1 LTF ). Le Tribunal fédéral statue sur la base des faits établis par l'autorité précédente ( art. 105 al. 1 LTF ; cf. ATF 135 III 127 consid. 1.5, 133 III 545 consid. 2.3); il n'examine en principe que les griefs soulevés ( ATF 133 III 545 consid. 2.2).</w:t>
      </w:r>
    </w:p>
    <w:p>
      <w:r>
        <w:rPr>
          <w:b/>
        </w:rPr>
        <w:t>E. 2</w:t>
      </w:r>
    </w:p>
    <w:p>
      <w:r>
        <w:t>Les recourantes se plaignent d'une violation de l'art. 73 de la loi fédérale du 2 avril 1908 sur le contrat d'assurance (loi sur le contrat d'assurance, LCA; RS 221.229.1) et de l' art. 13 CO ; à leur avis, le courrier de X.________ du 8 avril 1991 ne répondrait pas aux exigences de forme pour le nantissement d'un droit découlant d'une assurance de personnes.</w:t>
      </w:r>
    </w:p>
    <w:p>
      <w:r>
        <w:rPr>
          <w:b/>
        </w:rPr>
        <w:t>E. 2.1</w:t>
      </w:r>
    </w:p>
    <w:p>
      <w:r>
        <w:t>Aux termes de l' art. 73 al. 1 LCA ,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l'assurance. Ces exigences correspondent à celles de l' art. 900 CC relatives à la constitution de gages sur des créances, si ce n'est que l'avis au tiers débiteur est obligatoire (Oftinger/Bär, Zürcher Kommentar, 3e éd. 1981, n° 83 ad art. 900 CC ). Quant à l' art. 13 CO , il précise que le contrat pour lequel la loi exige la forme écrite doit être signé par toutes les personnes auxquelles il impose des obligations. Un acte de nantissement formel n'est pas nécessaire. Une correspondance signée suffit, à condition de contenir les éléments essentiels du contrat (cf. ATF 27 II 193 consid. 4 p. 196; Zobl, Berner Kommentar, 2e éd. 1996, n° 29 ad art. 900 CC ). Le contrat de nantissement conclu entre le constituant et le créancier gagiste n'impose d'obligation qu'au premier. Dès lors, la seule signature du constituant suffit à l'exigence de la forme écrite; l'accord du créancier gagiste peut être oral voire tacite (cf. ATF 27 II 527 consid. 4 p. 531 s.; Lombardini, Droit bancaire suisse, 2e éd. 2008, p. 888; Guggenheim, in Commentaire romand, n° 8 ad art. 13 CO ; Kuhn, Basler Kommentar, 2001, n° 36 ad art. 73 LCA p. 986; Foëx, Le contrat de gage mobilier, 1997, p. 167 n° 442; Zobl, op. cit., n° 30 ad art. 900 CC ; Kramer/Schmidlin, Berner Kommentar, 1986, n° 58 ad art. 11 CO et n° 8 ad art. 13 CO ; Oftinger/Bär, op. cit., n° 20 ad art. 900 CC ). L'avis écrit à l'assurance en tant que tiers débiteur est une condition de validité du contrat de mise en gage de créances découlant d'un contrat d'assurance de personnes. Cet avis peut être donné en tout temps, même après plusieurs années; il peut émaner du constituant ou du créancier gagiste (cf. ATF 47 II 474 ; Steinauer, Les droits réels, tome III, 3e éd. 2003, p. 454 n° 3157e; Kuhn, op. cit., n° 36 ad art. 73 LCA p. 986; du même avis, contrairement à ce qu'affirment les recourantes: Carré, Loi fédérale sur le contrat d'assurance, 2000, ad art. 73 LCA p. 403, chapitre "forme écrite de l'avis à l'assureur", paragraphe 2, 2e phrase).</w:t>
      </w:r>
    </w:p>
    <w:p>
      <w:r>
        <w:rPr>
          <w:b/>
        </w:rPr>
        <w:t>E. 2.2</w:t>
      </w:r>
    </w:p>
    <w:p>
      <w:r>
        <w:t>En l'espèce, par courrier du 8 avril 1991 portant sa signature, X.________ a déclaré remettre à la banque la police d'assurance n° xxx en nantissement pour garantir le crédit accordé par le compte courant n° 1. Ce document écrit est signé par la personne constituant le gage, et il contient tous les éléments essentiels du contrat de gage; les exigences de la forme écrite sont remplies. Pour le surplus, la police d'assurance a été remise à la banque et, le 1er septembre 1992, celle-ci a informé par écrit l'assurance du nantissement. Dès cette date-là, le gage était valablement constitué. Dans le cadre d'une proposition de restructuration des crédits, la banque a requis X.________ de signer un nouveau contrat de nantissement, ce que ce dernier n'a pas fait. Cela ne touche toutefois pas la validité du premier nantissement. Il n'est pas allégué qu'il aurait été annulé par les parties; la banque est d'ailleurs restée en possession de la police d'assurance dont X.________ n'a pas demandé la restitution. C'est dès lors à tort que les recourantes entendent déduire l'invalidité de ce nantissement de l'instance de la banque à obtenir de X.________ qu'il signe le nouveau contrat, peu importe que la banque ait agi par simple volonté de standardiser ses dossiers ou pour déroger contractuellement à certaines règles légales.</w:t>
      </w:r>
    </w:p>
    <w:p>
      <w:r>
        <w:rPr>
          <w:b/>
        </w:rPr>
        <w:t>E. 3</w:t>
      </w:r>
    </w:p>
    <w:p>
      <w:r>
        <w:t>Les recourantes se plaignent d'une violation de l' art. 906 CC et des art. 10, 11, 12 et 14 de l'ordonnance du 10 mai 1910 concernant la saisie, le séquestre et la réalisation de droits découlant d'assurances d'après la loi fédérale du 2 avril 1908 sur le contrat d'assurance (OSAss; RS 281.51); elles soutiennent que même si la banque avait un droit de gage, l'autorité cantonale ne pouvait pas libérer le montant consigné en sa faveur; à leur avis, la banque aurait dû inviter l'Office des faillites à ouvrir action pour contester la clause bénéficiaire en leur faveur et, en cas de renonciation de la part de celui-ci, demander la cession des droits de la masse; à ce défaut, la banque aurait perdu tous ses droits.</w:t>
      </w:r>
    </w:p>
    <w:p>
      <w:r>
        <w:rPr>
          <w:b/>
        </w:rPr>
        <w:t>E. 3.1</w:t>
      </w:r>
    </w:p>
    <w:p>
      <w:r>
        <w:t>A teneur de l' art. 80 LCA , lorsque, dans une assurance de personnes, le preneur d'assurance a désigné comme bénéficiaires notamment son conjoint ou ses descendants, le droit qui découle de la désignation du bénéficiaire et celui du preneur ne sont pas soumis à l'exécution forcée au profit des créanciers du preneur, sous réserve toutefois des droits de gage existants. Dans ce cas, selon les art. 10 et 11 OSAss , lorsqu'un créancier allègue qu'un droit découlant pour le failli d'une assurance de personnes avec clause bénéficiaire au sens précité a été constituée en gage à son profit, l'administration de la faillite décide d'abord si elle veut ouvrir ou non action en contestation de la clause bénéficiaire; dans la seconde alternative, elle donnera aux créanciers la faculté de soutenir le procès en son nom. Aux termes de l' art. 12 OSAss , en cas de reconnaissance de la clause bénéficiaire, le droit de gage n'est pas liquidé dans la faillite. Selon ces dispositions, la désignation du conjoint et des descendants comme bénéficiaires ne s'éteint pas en cas de faillite du preneur d'assurance; la prétention d'assurance est soustraite à l'exécution forcée, et le bénéficiaire est substitué au preneur au moment de l'ouverture de la faillite; si donc la clause bénéficiaire n'est pas contestée, la prétention d'assurance ne tombe pas dans la masse en faillite, mais devient partie du patrimoine du bénéficiaire. Les droits de gage de tiers sur la prétention d'assurance n'en sont toutefois pas touchés. La liquidation de ces droits de gage sur la prétention d'assurance du bénéficiaire envers l'assureur a lieu en dehors de la faillite (cf. ATF 105 III 122 consid. 8 p. 133 s.; Küng, Basler Kommentar, 2001, n° 10 ad art. 80 LCA ). En l'occurrence, les droits des recourantes découlant du contrat d'assurance n'ont pas été contestés, par la masse ou par un créancier du preneur en faillite, et ils n'ont dès lors pas été soumis à l'exécution forcée en faveur des créanciers de celui-ci. Cela n'a toutefois pas influé sur les droits de la banque en tant que créancière gagiste; elle a gardé son droit de gage sur les droits découlant de l'assurance et peut toujours s'en prévaloir.</w:t>
      </w:r>
    </w:p>
    <w:p>
      <w:r>
        <w:rPr>
          <w:b/>
        </w:rPr>
        <w:t>E. 3.2</w:t>
      </w:r>
    </w:p>
    <w:p>
      <w:r>
        <w:t>En cas de mise en gage des prétentions d'assurance, le constituant, en tant qu'assuré, reste titulaire de la créance et continue d'exercer tous les droits et les pouvoirs qu'elle lui confère. Le créancier gagiste n'acquiert qu'un droit réel restreint sur les prétentions qui découlent du contrat d'assurance; sauf convention contraire, il n'est pas habilité à se faire verser directement le montant de la prestation d'assurance ou, le cas échéant, celui de la valeur de rachat (cf. ATF 128 III 366 consid. 2b p. 368). En l'espèce, l'acte de nantissement du 8 avril 1991 ne cède pas à la banque le droit d'administrer la créance reçue en gage, de la dénoncer et d'en opérer le recouvrement. A teneur de l' art. 906 al. 2 et 3 CC , applicable en cas de nantissement de droits découlant d'un contrat d'assurance de personnes (cf. art. 100 al. 1 LCA ; ATF 45 II 250 consid. 2 p. 254), le débiteur, avisé du gage, ne peut s'acquitter entre les mains du propriétaire de la créance engagée ou du créancier gagiste qu'avec le consentement de l'autre intéressé; à défaut de ce consentement, il doit consigner. Cette règlementation sert à ce que le droit de gage sur la créance ne soit pas privé de sa fonction de garantie (cf. ATF 128 III 366 consid. 2b p. 369). En l'occurrence, il n'y a pas eu de consentement des recourantes et de la banque. C'est donc à bon droit que l'assurance a consigné le montant litigieux. Elle s'est ainsi valablement libérée de son obligation. La demande des recourantes contre l'assurance est donc infondée.</w:t>
      </w:r>
    </w:p>
    <w:p>
      <w:r>
        <w:rPr>
          <w:b/>
        </w:rPr>
        <w:t>E. 3.3</w:t>
      </w:r>
    </w:p>
    <w:p>
      <w:r>
        <w:t>Le montant consigné en vertu de l'obligation légale reste consigné tant qu'il n'est pas établi lequel des deux prétendants y a droit; il est libéré en faveur de celui qui prouve son meilleur droit (cf. Koller, Schweizerisches Obligationenrecht, Allgemeiner Teil, 3e éd. 2009, § 56 n° 153 p. 964 s.; Zobl, op. cit., n° 43 ad art. 906 CC ; Oftinger/Bär, op. cit., n° 50 ad art. 906 CC ). En l'espèce, le montant a été consigné par l'assurance débitrice en exécution de la créance des recourantes grevée d'un droit de gage en faveur de la banque. En tant que créancier gagiste, la banque bénéficiait d'un droit préférentiel sur ce montant (cf. art. 891 al. 1 CC ). C'est ainsi à bon droit que le montant consigné a été libéré en sa faveur.</w:t>
      </w:r>
    </w:p>
    <w:p>
      <w:r>
        <w:rPr>
          <w:b/>
        </w:rPr>
        <w:t>E. 4</w:t>
      </w:r>
    </w:p>
    <w:p>
      <w:r>
        <w:t>Il résulte des considérants qui précèdent que le recours doit être rejeté. Compte tenu de l'issue du litige, les frais judiciaires et dépens - réduits en ce qui concerne l'assurance en considération de la relative brièveté de sa réponse - sont mis solidairement à la charge des recourantes, qui succombent (art. 66 al. 1 et 5 ainsi qu' art. 68 al. 1, 2 et 4 LTF ; art. 4 et 8 al. 2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