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4A_585/2024 vom 13. Januar 2025</w:t>
      </w:r>
    </w:p>
    <w:p>
      <w:r>
        <w:t>Bundesgericht, 2025-01-13, FR</w:t>
      </w:r>
    </w:p>
    <w:p>
      <w:r>
        <w:rPr>
          <w:b/>
        </w:rPr>
        <w:t xml:space="preserve">Quelle: </w:t>
      </w:r>
      <w:r>
        <w:t>https://mcp.opencaselaw.ch/entscheid/bger_4A_585_2024</w:t>
      </w:r>
    </w:p>
    <w:p>
      <w:r>
        <w:t>FR: TF 4A_585/2024 du 13 janvier 2025</w:t>
      </w:r>
    </w:p>
    <w:p>
      <w:r>
        <w:t>IT: TF 4A_585/2024 del 13 gennaio 2025</w:t>
      </w:r>
    </w:p>
    <w:p>
      <w:pPr>
        <w:pStyle w:val="Heading2"/>
      </w:pPr>
      <w:r>
        <w:t>Erwägungen</w:t>
      </w:r>
    </w:p>
    <w:p>
      <w:r>
        <w:rPr>
          <w:b/>
        </w:rPr>
        <w:t>E. 1</w:t>
      </w:r>
    </w:p>
    <w:p>
      <w:r>
        <w:t>Le 6 novembre 2024, A.________ SA et B.________ (ci-après: les recourants) ont formé un recours en matière civile, assorti d'une requête d'effet suspensif, à l'encontre de l'arrêt rendu le 3 octobre 2024 par la Chambre civile de la Cour de justice du canton de Genève dans le cadre du litige divisant les prénommés d'avec C.________ AG (ci-après: l'intimée).</w:t>
      </w:r>
    </w:p>
    <w:p>
      <w:r>
        <w:t>Par ordonnance présidentielle du 8 novembre 2024, expédiée à l'adresse de l'avocat des recourants figurant sur la lettre accompagnant le mémoire de recours, ceux-ci ont été invités à verser, jusqu'au 25 novembre 2024 au plus tard, une avance de frais de 44'000 fr.</w:t>
      </w:r>
    </w:p>
    <w:p>
      <w:r>
        <w:t>Cet envoi a été retourné au Tribunal fédéral avec la mention " le destinataire est introuvable à l'adresse indiquée ".</w:t>
      </w:r>
    </w:p>
    <w:p>
      <w:r>
        <w:t>Par ordonnance présidentielle datée du 8 novembre 2024, l'intimée et la cour cantonale ont été invitées à répondre au recours et à se déterminer sur la requête d'effet suspensif dans un délai échéant le 29 novembre 2024.</w:t>
      </w:r>
    </w:p>
    <w:p>
      <w:r>
        <w:t>Par pli du 12 novembre 2024, la juridiction cantonale s'est référée aux considérants de son arrêt et s'en est remise à justice s'agissant de la requête d'effet suspensif.</w:t>
      </w:r>
    </w:p>
    <w:p>
      <w:r>
        <w:t>À la suite d'un échange téléphonique entre l'avocat des recourants et la chancellerie de la I re Cour de droit civil du Tribunal fédéral, l'ordonnance du 8 novembre 2024 a été expédiée le 14 novembre 2024 à la nouvelle adresse communiquée par ledit mandataire professionnel.</w:t>
      </w:r>
    </w:p>
    <w:p>
      <w:r>
        <w:t>Dans sa réponse du 29 novembre 2024, l'intimée a conclu au rejet du recours dans la mesure de sa recevabilité ainsi qu'au rejet de la requête d'effet suspensif.</w:t>
      </w:r>
    </w:p>
    <w:p>
      <w:r>
        <w:t>Par ordonnance présidentielle du 2 décembre 2024, les recourants se sont vu impartir, conformément à l'art. 62 al. 3 de la loi sur le Tribunal fédéral du 17 juin 2005 (LTF; RS 173.110), un délai supplémentaire échéant le 17 décembre 2024 pour régler l'avance de frais requise, faute de quoi leur recours serait déclaré irrecevable.</w:t>
      </w:r>
    </w:p>
    <w:p>
      <w:r>
        <w:rPr>
          <w:b/>
        </w:rPr>
        <w:t>E. 2</w:t>
      </w:r>
    </w:p>
    <w:p>
      <w:r>
        <w:t>Aux termes de l' art. 62 al. 3 LTF ,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w:t>
      </w:r>
    </w:p>
    <w:p>
      <w:r>
        <w:t>En l'espèce, l'avance de frais requise n'a pas été réglée dans le délai de grâce imparti aux recourants par ordonnance du 2 décembre 2024. Le recours se révèle dès lors manifestement irrecevable en vertu de l' art. 62 al. 3 LTF , ce qu'il convient de constater en faisant application de la procédure simplifiée prévue par l' art. 108 al. 1 LTF . La requête d'effet suspensif se révèle ainsi sans objet.</w:t>
      </w:r>
    </w:p>
    <w:p>
      <w:r>
        <w:rPr>
          <w:b/>
        </w:rPr>
        <w:t>E. 3</w:t>
      </w:r>
    </w:p>
    <w:p>
      <w:r>
        <w:t>Les recourants, qui succombent, supporteront solidairement entre eux les frais de la présente procédure, lesquels seront toutefois réduits compte tenu de l'issue du litige (art. 66 al. 1</w:t>
      </w:r>
    </w:p>
    <w:p>
      <w:r>
        <w:t>in fine LTF). En revanche, ils verseront, solidairement entre eux, de pleins dépens à l'intimée, dès lors que celle-ci a dû se déterminer sur le fond 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