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585/2015 vom 11. April 2016</w:t>
      </w:r>
    </w:p>
    <w:p>
      <w:r>
        <w:t>Bundesgericht, 2016-04-11, DE</w:t>
      </w:r>
    </w:p>
    <w:p>
      <w:r>
        <w:rPr>
          <w:b/>
        </w:rPr>
        <w:t xml:space="preserve">Quelle: </w:t>
      </w:r>
      <w:r>
        <w:t>https://mcp.opencaselaw.ch/entscheid/bger_4A_585_2015</w:t>
      </w:r>
    </w:p>
    <w:p>
      <w:r>
        <w:t>FR: TF 4A 585/2015 du 11 avril 2016</w:t>
      </w:r>
    </w:p>
    <w:p>
      <w:r>
        <w:t>IT: TF 4A 585/2015 del 11 aprile 2016</w:t>
      </w:r>
    </w:p>
    <w:p>
      <w:pPr>
        <w:pStyle w:val="Heading2"/>
      </w:pPr>
      <w:r>
        <w:t>Regeste</w:t>
      </w:r>
    </w:p>
    <w:p>
      <w:r>
        <w:t>Lohngleichheit | Vertragsrecht</w:t>
      </w:r>
    </w:p>
    <w:p>
      <w:pPr>
        <w:pStyle w:val="Heading2"/>
      </w:pPr>
      <w:r>
        <w:t>Erwägungen</w:t>
      </w:r>
    </w:p>
    <w:p>
      <w:r>
        <w:rPr>
          <w:b/>
        </w:rPr>
        <w:t>E. 1</w:t>
      </w:r>
    </w:p>
    <w:p>
      <w:r>
        <w:t>Die Eintretensvoraussetzungen geben keinen Anlass zu Bemerkungen. Auf die Beschwerde ist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4A_279/2013 vom 12. November 2013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 Art. 97 Abs. 1 BGG ). Die Partei, welche die Sachverhaltsfeststellung der Vorinstanz anfechten will, muss klar und substantiiert aufzeigen, inwiefern diese Voraussetzungen erfüllt sein sollen ( BGE 140 III 16 E. 1.3.1 S. 18 mit Hinweisen).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Nach Art. 3 Abs. 1 des Bundesgesetzes vom 24. März 1995 über die Gleichstellung von Frau und Mann (GlG; SR 151.1) dürfen Arbeitnehmerinnen und Arbeitnehmer auf Grund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Demgemäss liegt nach Lehre und Rechtsprechung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Objektive Gründe vermögen im Allgemeinen eine unterschiedliche Entlöhnung nur dann zu rechtfertigen, wenn sie für die konkrete Arbeitsleistung und die Lohngestaltung durch die Arbeitgebenden wesentlich sind ( BGE 141 II 411 E. 6.1.2 S. 419 mit umfassenden Hinweisen). Art. 6 GlG sieht zugunsten der Arbeitnehmerin eine Beweislasterleichterung vor, wonach unter anderem bezüglich Entlöhnung eine Diskriminierung vermutet wird, wenn diese von der betroffenen Person glaubhaft gemacht ist. Die Arbeitgeberin muss dann den strikten Beweis erbringen, dass entweder keine unterschiedliche Behandlung besteht oder aber, falls eine solche gegeben ist, auf objektiven Faktoren beruht ( BGE 130 III 145 E. 5.2 S. 164 mit Hinweisen; Urteil 4A_261/2011 vom 24. August 2011 E. 3.2).</w:t>
      </w:r>
    </w:p>
    <w:p>
      <w:r>
        <w:rPr>
          <w:b/>
        </w:rPr>
        <w:t>E. 4</w:t>
      </w:r>
    </w:p>
    <w:p>
      <w:r>
        <w:t>Die Feststellungen der Vorinstanz zur Gleichwertigkeit der Arbeit der Beschwerdegegnerin und derjenigen von C.________ werden von der Beschwerdeführerin nicht gerügt. Sie erhebt auch keine Einwände dagegen, dass die Vorinstanz trotz der eher geringfügigen Lohndifferenz von durchschnittlich 6 % im streitgegenständlichen Zeitraum von 2008 bis 2013 die Lohndiskrimierung als im Sinn von Art. 6 GlG glaubhaft gemacht beurteilte. Damit muss es sein Bewenden haben und der angefochtene Entscheid ist insoweit nicht zu überprüfen (vgl. E. 2.1 hiervor). Zu prüfen ist einzig die vorinstanzliche Beweiswürdigung betreffend die objektiven Rechtfertigungsgründe. Diesbezüglich rügt die Beschwerdeführerin eine Verletzung von Art. 9 BV , Art. 6 GlG und Art. 157 ZPO .</w:t>
      </w:r>
    </w:p>
    <w:p>
      <w:r>
        <w:rPr>
          <w:b/>
        </w:rPr>
        <w:t>E. 4.1</w:t>
      </w:r>
    </w:p>
    <w:p>
      <w:r>
        <w:t>Die Vorinstanz stellte fest, im Berufungsverfahren sei nicht (mehr) beanstandet worden, dass angesichts des fortgeschrittenen Alters der beiden Mitarbeitenden die Berufserfahrung und das Alter keinen Unterschied zu rechtfertigen vermögen. In Anbetracht der Aussagen der befragten Personen könne nicht beantwortet werden, ob die Beschwerdegegnerin oder C.________ für das Unternehmen die wertvolleren Leistungen erbringe; zu unterschiedlich seien die entsprechenden Aussagen ausgefallen. Zwar hätten etliche der Befragten die Zuverlässigkeit, Speditivität und Gelassenheit von C.________ hervorgehoben. Die Unbefangenheit der befragten Personen - vor allem des der Parteibefragung unterstellten D.________ und der Zeugin E.________ - sei "aber nicht von vorneherein über jeden Zweifel erhaben". Die Arbeitszeugnisse für die Beschwerdegegnerin seien kaum weniger lobend als jene für ihren männlichen Kollegen. Am ehesten könne man eine höhere Impulsivität der Beschwerdegegnerin als erwiesen erachten. Angesichts des Fehlens näherer Ausführungen der Beschwerdeführerin bleibe aber wenig fassbar, inwiefern sich diese negativ auf das Betriebsklima und vor allem auf das Arbeitsergebnis ausgewirkt habe. Schliesslich verwies sie auf ein Mail von D.________ an die Beschwerdegegnerin vom 27. Februar 2013. Darin habe er ihr mitgeteilt, dass er ihre Argumentation nicht teilen könne, wonach C.________ weniger Stress als sie gehabt habe. Er habe dann aber hinzugefügt, dass er "deshalb in der Bewertung davon aus [ gehe], dass Eure beiden Leistungen auf einem gleich guten Niveau liegen". Zusammenfassend sei daher der der Beschwerdeführerin obliegende Beweis objektiver Rechtfertigungsgründe nicht erbracht.</w:t>
      </w:r>
    </w:p>
    <w:p>
      <w:r>
        <w:rPr>
          <w:b/>
        </w:rPr>
        <w:t>E. 4.2</w:t>
      </w:r>
    </w:p>
    <w:p>
      <w:r>
        <w:t>Die Beschwerdeführerin müsste darlegen können, dass diese Beweiswürdigung offensichtlich unhaltbar und damit willkürlich ist (vgl. E. 2.2 hiervor). Sie stützt sich im Wesentlichen auf drei Argumente: Erstens sei nicht nachvollziehbar, weshalb die aufgrund der Zeugenaussage von F.________erwiesene Tatsache, dass die Beschwerdegegnerin bei der ferienbedingten Stellvertretung von C.________ mindestens doppelt so lange für dessen Arbeit gebraucht habe, um zu qualitativ gleichwertigen Ergebnissen zu gelangen, nicht Ausdruck unterschiedlicher Leistung sein solle. Das habe die Vorinstanz vollkommen unberücksichtigt gelassen. Zweitens gebe es keine Anhaltspunkte, um die Unbefangenheit der befragten Personen in Frage zu stellen, auch wenn einzelne von ihnen noch im Anstellungsverhältnis zur Beschwerdeführerin stünden. Drittens habe die Vorinstanz die Aussagenwürdigung gestützt auf summarisch abgefasste Protokolle vorgenommen; bei den Befragungsprotokollen handle es sich nicht um Wortprotokolle. Letzteres trifft zu; die Vorinstanz konnte deshalb keinen vergleichbar unmittelbaren Eindruck der Aussagen gewinnen wie das Bezirksgericht, das gerade gestützt auf die diversen Aussagen den Nachweis objektiver Leistungsunterschiede als erbracht erachtete. Zutreffend ist auch, dass die Vorinstanz nicht in Bezug auf einzelne Personen darlegt, weshalb diese konkret nicht glaubhaft sein sollen. Trotzdem gelingt der Beschwerdeführerin der Nachweis der Willkür nicht, sofern man überhaupt von einer genügenden Rüge ausgehen kann (vgl. E. 2.2 hiervor). Die Beschwerdeführerin setzt sich nicht mit den weiteren von der Vorinstanz gewürdigten Indizien auseinander, namentlich nicht mit den Arbeitszeugnissen und dem M ail von D.________ an die Beschwerdegegnerin vom 27. Februar 2013. Geradezu willkürlich ist die Beweiswürdigung der Vorinstanz nicht, unabhängig von der erwähnten isolierten Aussage des Zeugen F.________ zur Ferienvertretung.</w:t>
      </w:r>
    </w:p>
    <w:p>
      <w:r>
        <w:rPr>
          <w:b/>
        </w:rPr>
        <w:t>E. 4.3</w:t>
      </w:r>
    </w:p>
    <w:p>
      <w:r>
        <w:t>Ist die Beweiswürdigung nicht willkürlich, wird die Rüge einer Verletzung von Art. 6 GlG gegenstandslos. Schliesslich ist nicht ersichtlich, inwiefern die Vorinstanz den Grundsatz der freien Beweiswürdigung ( Art. 157 ZPO ) verletzt haben soll.</w:t>
      </w:r>
    </w:p>
    <w:p>
      <w:r>
        <w:rPr>
          <w:b/>
        </w:rPr>
        <w:t>E. 5</w:t>
      </w:r>
    </w:p>
    <w:p>
      <w:r>
        <w:t>Die Beschwerde ist abzuweisen, soweit darauf einzutreten ist. Dem Ausgang des Verfahrens entsprechend wird die Beschwerdeführerin kosten- und entschädigungspflichtig ( Art. 66 Abs. 1 und Art. 68 Abs. 2 BGG ).</w:t>
      </w:r>
    </w:p>
    <w:p>
      <w:r>
        <w:rPr>
          <w:b/>
        </w:rPr>
        <w:t>E. 6</w:t>
      </w:r>
    </w:p>
    <w:p>
      <w:r>
        <w:t>Die Beschwerdegegnerin beantragt für das bundesgerichtliche Verfahren die Bewilligung der unentgeltlichen Rechtspflege unter Einschluss der Verbeiständung. Soweit das Gesuch die Gerichtskosten betrifft, wird es gegenstandslos, da die Beschwerdegegnerin keine Gerichtskosten zu tragen hat (Urteil 5A_849/2008 vom 9. Februar 2009 E. 2.2.1 mit Hinweisen). Soweit es die Entschädigung betrifft, verlangt der Anspruch auf unentgeltliche Rechtspflege nach der bundesgerichtlichen Rechtsprechung, dass die Anwältin einer unentgeltlich verbeiständeten Partei vom Staat entschädigt wird, wenn bei Obsiegen die kostenpflichtige Gegenpartei nicht mit Erfolg belangt werden kann. Entsprechend darf ein Gesuch um unentgeltliche Rechtspflege nicht schon deshalb abgewiesen werden, weil eine Parteientschädigung zulasten des Prozessgegners zugesprochen wird ( BGE 122 I 322 E. 2 u. 3 S. 324 ff.; zit. Urteil 5A_849/2008 E. 2.2.2 mit Hinweis). Bevor feststeht, dass die Parteientschädigung uneinbringlich ist, braucht allerdings (noch) nicht über das Gesuch befunden zu werden. Vielmehr erklärt das Bundesgericht dieses in der Regel auch bezüglich der Entschädigung als gegenstandslos, wenn es von deren Einbringlichkeit ausgeht; gegebenenfalls wäre das Gesuch nachträglich zu behandeln (vgl. Urteil 5G_1/2015 vom 18. März 2015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