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4A_584/2021 vom 8. April 2022</w:t>
      </w:r>
    </w:p>
    <w:p>
      <w:r>
        <w:t>Bundesgericht, 2022-04-08, DE</w:t>
      </w:r>
    </w:p>
    <w:p>
      <w:r>
        <w:rPr>
          <w:b/>
        </w:rPr>
        <w:t xml:space="preserve">Quelle: </w:t>
      </w:r>
      <w:r>
        <w:t>https://mcp.opencaselaw.ch/entscheid/bger_4A_584_2021</w:t>
      </w:r>
    </w:p>
    <w:p>
      <w:r>
        <w:t>FR: TF 4A_584/2021 du 8 avril 2022</w:t>
      </w:r>
    </w:p>
    <w:p>
      <w:r>
        <w:t>IT: TF 4A_584/2021 del 8 aprile 2022</w:t>
      </w:r>
    </w:p>
    <w:p>
      <w:pPr>
        <w:pStyle w:val="Heading2"/>
      </w:pPr>
      <w:r>
        <w:t>Erwägungen</w:t>
      </w:r>
    </w:p>
    <w:p>
      <w:r>
        <w:rPr>
          <w:b/>
        </w:rPr>
        <w:t>E. 1</w:t>
      </w:r>
    </w:p>
    <w:p>
      <w:r>
        <w:t>Beim angefochtenen Entscheid handelt es sich um einen Zwischenentscheid über die unentgeltliche Rechtspflege. Die Beschwerde ist in diesem Fall nur zulässig, wenn der angefochtene Entscheid einen nicht wieder gutzumachenden Nachteil bewirken kann ( Art. 93 Abs. 1 lit. a BGG ). Bei Zwischenentscheiden folgt der Rechtsweg jenem der Hauptsache ( BGE 137 III 380 E. 1.1; 133 III 645 E. 2.2).</w:t>
      </w:r>
    </w:p>
    <w:p>
      <w:r>
        <w:t>Entgegen den gesetzlichen Vorschriften ( Art. 112 Abs. 1 lit. d BGG ) finden sich im angefochtenen Entscheid weder Angaben zum konkreten Streitwert, noch ist festgestellt, was der Streitgegenstand der Hauptsache ist. Ob die Streitwertgrenze vorliegend erreicht und ob und inwiefern der Beschwerdeführerin durch den angefochtenen Zwischenentscheid ein nicht wieder gutzumachender Nachteil entstanden wäre, nachdem ihr aufgrund ihres zweiten Gesuchs die unentgeltliche Rechtspflege vollständig gewährt worden ist, kann offen bleiben: Selbst wenn die Eingabe als Beschwerde in Zivilsachen entgegen genommen wird, ist sie - wie nachfolgend gezeigt wird - abzuweisen, soweit darauf überhaupt eingetreten werden kann.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macht geltend, es fehle an einer materiellen Begründung, warum ihr zweites Gesuch um unentgeltliche Rechtspflege vom 13. Oktober 2021 nur teilweise gutgeheissen worden sei. Ihr Anspruch auf rechtliches Gehör nach Art. 29 Abs. 2 BV sei verletzt.</w:t>
      </w:r>
    </w:p>
    <w:p>
      <w:r>
        <w:rPr>
          <w:b/>
        </w:rPr>
        <w:t>E. 3.2</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142 III 433 E. 4.3.2; 137 II 266 E. 3.2 ; 136 I 184 E. 2.2.1).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w:t>
      </w:r>
    </w:p>
    <w:p>
      <w:r>
        <w:rPr>
          <w:b/>
        </w:rPr>
        <w:t>E. 3.3</w:t>
      </w:r>
    </w:p>
    <w:p>
      <w:r>
        <w:t>Es trifft zu, dass die Vorinstanz das Gesuch um unentgeltliche Rechtspflege im ersten Satz der Dispositivziffer 1 nur teilweise guthiess und die Begründung des Entscheids knapp ist. Es ist dem angefochtenen Entscheid aber ohne Weiteres zu entnehmen, dass die Vorinstanz der Beschwerdeführerin mit Wirkung ab dem 13. Oktober 2021, dem Datum des Einreichens des zu beurteilenden, zweiten Gesuchs, die vollständige unentgeltliche Rechtspflege samt unentgeltlichem Rechtsbeistand für das Berufungsverfahren erteilte (angefochtener Entscheid, S. 2). Zusätzlich spezifizierte die Vorinstanz im zweiten Satz der Dispositivziffer 1 ausdrücklich, dass der Beschwerdeführerin mit Wirkung ab dem 13. Oktober 2021 die</w:t>
      </w:r>
    </w:p>
    <w:p>
      <w:r>
        <w:t>vollständige unentgeltliche Rechtspflege erteilt werde, unter Beiordnung von Rechtsanwalt Gruber als amtlicher Rechtsbeistand. Die Vorinstanz brachte damit ihre Überlegungen, von denen sie sich hat leiten lassen, genügend klar zum Ausdruck, sodass es der Beschwerdeführerin möglich war, den Entscheid anzufechten. Es kommt klar zum Ausdruck, dass sich das "teilweise" Gutheissen auf das zeitliche Moment (ab 13. Oktober 2021) bezieht, die unentgeltliche Rechtspflege aber vollständig gewährt wird. Eine Verletzung von Art. 29 Abs. 2 BV liegt nicht vor.</w:t>
      </w:r>
    </w:p>
    <w:p>
      <w:r>
        <w:rPr>
          <w:b/>
        </w:rPr>
        <w:t>E. 4</w:t>
      </w:r>
    </w:p>
    <w:p>
      <w:r>
        <w:t>Die Beschwerdeführerin führt aus, dass die unentgeltliche Rechtspflege grundsätzlich ab Gesuchseinreichung, also für die Zukunft gewährt werde. Wenn nun im angefochtenen Entscheid die unentgeltliche Rechtspflege ausdrücklich erst ab dem 13. Oktober 2021 gewährt werde, könne das nur so verstanden werden, dass die anwaltlich notwendigen Vorbereitungshandlungen davon nicht erfasst seien. Art. 119 Abs. 4 ZPO sei verletzt.</w:t>
      </w:r>
    </w:p>
    <w:p>
      <w:r>
        <w:t>Die unentgeltliche Rechtspflege wird in der Tat in aller Regel nicht rückwirkend, sondern mit Wirkung vom Zeitpunkt an bewilligt, in dem das Gesuch gestellt worden ist ( Art. 119 Abs. 4 ZPO e contrario). Davon ging aber auch die Vorinstanz aus, bewilligte sie doch das Gesuch um unentgeltliche Rechtspflege ausdrücklich ab dem Datum der Einreichung des Gesuchs, mithin ab dem 13. Oktober 2021. Dass die unentgeltliche Rechtspflege rückwirkend hätte bewilligt werden müssen, macht die Beschwerdeführerin zu Recht nicht geltend. Eine Verletzung von Art. 119 Abs. 4 ZPO ist weder dargetan noch ersichtlich.</w:t>
      </w:r>
    </w:p>
    <w:p>
      <w:r>
        <w:rPr>
          <w:b/>
        </w:rPr>
        <w:t>E. 5</w:t>
      </w:r>
    </w:p>
    <w:p>
      <w:r>
        <w:t>Die Beschwerdeführerin rügt schliesslich, dass der Entscheid unhaltbar sei, weil es für die Beschränkung des Gesuchs um unentgeltliche Rechtspflege keinen wirklichen Grund gebe. Die Beschränkung diene dazu, die Beschwerdeführerin bzw. ihren Rechtsvertreter dafür zu bestrafen, dass sie in ihrem ersten Gesuch vom 4. Oktober 2021 die Prozessaussichten nicht näher begründet habe. Dies führe im Ergebnis dazu, dass eine mittellose Person es in Zukunft besser unterlasse, ein vorprozessuales Gesuch um unentgeltliche Rechtspflege zu stellen. Art. 9 BV sei verletzt.</w:t>
      </w:r>
    </w:p>
    <w:p>
      <w:r>
        <w:t>Inwiefern die Beschwerdeführerin oder ihr Rechtsvertreter durch den angefochtenen Entscheid "bestraft" würden und Art. 9 BV verletzt wäre, ist weder hinreichend dargetan (Erwägung 2.1) noch ersichtlich, gewährte die Vorinstanz der Beschwerdeführerin doch die</w:t>
      </w:r>
    </w:p>
    <w:p>
      <w:r>
        <w:t>vollständige unentgeltliche Rechtspflege samt unentgeltlichem Rechtsbeistand ab Gesuchseinreichung.</w:t>
      </w:r>
    </w:p>
    <w:p>
      <w:r>
        <w:rPr>
          <w:b/>
        </w:rPr>
        <w:t>E. 6</w:t>
      </w:r>
    </w:p>
    <w:p>
      <w:r>
        <w:t>Die Beschwerde ist somit abzuweisen, soweit darauf überhaupt eingetreten werden kann.</w:t>
      </w:r>
    </w:p>
    <w:p>
      <w:r>
        <w:rPr>
          <w:b/>
        </w:rPr>
        <w:t>E. 7</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8</w:t>
      </w:r>
    </w:p>
    <w:p>
      <w:r>
        <w:t>Bei diesem Ausgang des Verfahrens sind die Gerichtskosten der Beschwerdeführerin aufzuerlegen ( Art. 66 Abs. 1 BGG ). Mit Blick auf den geringen Aufwand für den vorliegenden Entscheid wird eine reduzierte Gerichtsgebühr erhoben. Die B.________ hat keinen Anspruch auf eine Parteientschädigung, da ihr aus dem bundesgerichtlichen Verfahren kein entschädigungspflichtiger Aufwand erwachsen ist ( Art. 68 Abs. 2 BGG ). Der Beschwerdegegner wird nicht entschädigt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