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4A_584/2013 vom 18. August 2014</w:t>
      </w:r>
    </w:p>
    <w:p>
      <w:r>
        <w:t>Bundesgericht, 2014-08-18, DE</w:t>
      </w:r>
    </w:p>
    <w:p>
      <w:r>
        <w:rPr>
          <w:b/>
        </w:rPr>
        <w:t xml:space="preserve">Quelle: </w:t>
      </w:r>
      <w:r>
        <w:t>https://mcp.opencaselaw.ch/entscheid/bger_4A_584_2013</w:t>
      </w:r>
    </w:p>
    <w:p>
      <w:r>
        <w:t>FR: TF 4A_584/2013 du 18 août 2014</w:t>
      </w:r>
    </w:p>
    <w:p>
      <w:r>
        <w:t>IT: TF 4A_584/2013 del 18 agosto 2014</w:t>
      </w:r>
    </w:p>
    <w:p>
      <w:pPr>
        <w:pStyle w:val="Heading2"/>
      </w:pPr>
      <w:r>
        <w:t>Erwägungen</w:t>
      </w:r>
    </w:p>
    <w:p>
      <w:r>
        <w:rPr>
          <w:b/>
        </w:rPr>
        <w:t>E. 1</w:t>
      </w:r>
    </w:p>
    <w:p>
      <w:r>
        <w:t>Das Bundesgericht prüft von Amtes wegen und mit freier Kognition, ob ein Rechtsmittel zulässig ist ( BGE 139 III 133 E. 1 m.w.H.).</w:t>
      </w:r>
    </w:p>
    <w:p>
      <w:r>
        <w:rPr>
          <w:b/>
        </w:rPr>
        <w:t>E. 1.1.1</w:t>
      </w:r>
    </w:p>
    <w:p>
      <w:r>
        <w:t>Die Beschwerde in Zivilsachen ist zulässig gegen Endentscheide, mithin solche, die das Verfahren abschliessen, sei es insgesamt ( Art. 90 BGG ), sei es hinsichtlich eines Teils der gestellten, unabhängig von den anderen beurteilbaren Begehren, oder sei es nur für einen Teil der Streitgenossen ( Art. 91 BGG ; zum Ganzen BGE 135 III 212 E. 1.2 S. 216 ff. m.w.H.).</w:t>
      </w:r>
    </w:p>
    <w:p>
      <w:r>
        <w:t>Der angefochtene Rechtsmittelentscheid des Kantonsgerichts Zug, eines oberen kantonalen Gerichts ( Art. 75 Abs. 1 BGG ), hat Dispositivziffer 1 des erstinstanzlichen Entscheids bestätigt und damit Ziff. 1 der klägerischen Rechtsbegehren abschliessend beurteilt. Es bleibt zu klären, ob es sich dabei um einen (Voll) Endentscheid im Sinne von Art. 90 BGG , oder um einen Teil (end) entscheid im Sinne von Art. 91 BGG handelt.</w:t>
      </w:r>
    </w:p>
    <w:p>
      <w:r>
        <w:rPr>
          <w:b/>
        </w:rPr>
        <w:t>E. 1.1.2</w:t>
      </w:r>
    </w:p>
    <w:p>
      <w:r>
        <w:t>Mit einem Teilentscheid als Variante des Endentscheids wird über eines oder einige von mehreren Rechtsbegehren (in objektiver oder subjektiver Klagehäufung) abschliessend befunden ( BGE 134 III 426 E 1.1 S. 428 m.w.H.). Ein Entscheid, der nur einen Teil der gestellten Begehren behandelt, ist nur dann ein vor Bundesgericht anfechtbarer Teilentscheid, wenn diese Begehren unabhängig von den anderen beurteilt werden können ( Art. 91 lit. a BGG ).</w:t>
      </w:r>
    </w:p>
    <w:p>
      <w:r>
        <w:rPr>
          <w:b/>
        </w:rPr>
        <w:t>E. 1.1.3</w:t>
      </w:r>
    </w:p>
    <w:p>
      <w:r>
        <w:t>Die Klägerin richtet in objektiver und subjektiver Klagenhäufung mehrere individualisierte Rechtsbegehren gegen zwei Beklagte. Ihre geltend gemachten Forderungen beziehen sich sowohl auf ein erfolgsunabhängiges Bearbeitungshonorar als auch auf erfolgsabhängige Zusatzhonorare. Dispositivziffer 1 des angefochtenen Entscheids betrifft einzig das erfolgsunabhängige Bearbeitungshonorar, das unstrittig unabhängig von der Frage von Ansprüchen auf Erfolgshonorar beurteilt werden kann, und bildet mithin einen anfechtbaren Teilentscheid gemäss Art. 91 lit. a BGG .</w:t>
      </w:r>
    </w:p>
    <w:p>
      <w:r>
        <w:rPr>
          <w:b/>
        </w:rPr>
        <w:t>E. 1.1.4</w:t>
      </w:r>
    </w:p>
    <w:p>
      <w:r>
        <w:t>Die Beschwerde ist innert der Beschwerdefrist ( Art. 100 BGG ) von der mit ihren Rechtsbegehren unterlegenen Partei ( Art. 76 Abs. 1 BGG ) eingereicht worden. Sie betrifft eine Zivilsache ( Art. 72 BGG ) mit einem Streitwert von über Fr. 30'000.-- ( Art. 74 Abs. 1 lit. b BGG ). Unter Vorbehalt einer zulässigen Rüge ist sie gegen Dispositivziffer 1 des angefochtenen Entscheids zulässig.</w:t>
      </w:r>
    </w:p>
    <w:p>
      <w:r>
        <w:rPr>
          <w:b/>
        </w:rPr>
        <w:t>E. 1.1.5</w:t>
      </w:r>
    </w:p>
    <w:p>
      <w:r>
        <w:t>Die Beschwerdegegnerin bestreitet nicht, dass die vorliegende Beschwerde hinsichtlich dieser Rügepflicht im Bezug auf die Beschwerdeführerin 2 genügt, behauptet hingegen, bezüglich des Beschwerdeführers 1 fehle es an einer genügenden Beschwerdebegründung. Dies trifft nicht zu. Die Beschwerdeschrift erfolgte im Namen beider Beschwerdeführer, und die darin enthaltenen Anträge und Argumente gelten - sofern nicht ausdrücklich oder aus dem Kontext sich etwas anderes ergibt - ohne Weiteres für beide.</w:t>
      </w:r>
    </w:p>
    <w:p>
      <w:r>
        <w:rPr>
          <w:b/>
        </w:rPr>
        <w:t>E. 1.2.1</w:t>
      </w:r>
    </w:p>
    <w:p>
      <w:r>
        <w:t>Die Beschwerde richtet sich ferner gegen die vorinstanzliche Bestätigung von Dispositivziffer 2 Abs. 2 des erstinstanzlichen Entscheids, in der festgehalten wird, dass sich die Klägerin auf die Erfolgskommission und (bei Erreichen einer Transaktionssumme von mindestens Fr. 1'500'000.--) den "Incentive", die Bearbeitungshonorare (insgesamt Fr. 80'645.15) und die Abschlagszahlung (Fr. 25'000.--) anrechnen lassen müsse. Damit haben die kantonalen Instanzen, wie die Beschwerdeführer zutreffend erkannt haben, die Haftung der Beschwerdegegnerin für die Erfolgskommission und den "Incentive" in einem selbständig eröffneten Zwischenentscheid dem Grundsatz nach bejaht.</w:t>
      </w:r>
    </w:p>
    <w:p>
      <w:r>
        <w:rPr>
          <w:b/>
        </w:rPr>
        <w:t>E. 1.2.2</w:t>
      </w:r>
    </w:p>
    <w:p>
      <w:r>
        <w:t>Die Anfechtbarkeit dieses Zwischenentscheids vor dem Bundesgericht richtet sich, da weder Zuständigkeit noch Ausstand betroffen sind ( Art. 92 BGG ), nach Art. 93 BGG . Die Beschwerde in Zivilsachen ist nur zulässig, wenn entweder der Zwischenentscheid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1.2.3</w:t>
      </w:r>
    </w:p>
    <w:p>
      <w:r>
        <w:t>Die selbständige Anfechtbarkeit von Vor- und Zwischenentscheiden bildet aus prozessökonomischen Gründen eine Ausnahme vom Grundsatz, dass sich das Bundesgericht mit einer Sache nur einmal befassen soll ( BGE 138 III 94 E. 2.1; 134 III 188 E. 2.2 S. 191; 133 III 629 E. 2.1 S. 631). Die Ausnahme ist restriktiv zu handhaben, zumal die Parteien keiner Rechte verlustig gehen, wenn sie einen Vor- bzw. Zwischenentscheid im Sinne von Art. 93 BGG nicht selbständig anfechten, können sie ihn doch mit dem Endentscheid anfechten, soweit er sich auf dessen Inhalt auswirkt ( Art. 93 Abs. 3 BGG ). Es obliegt den Beschwerdeführern darzutun, dass die Eintretensvoraussetzungen von Art. 93 BGG erfüllt sind, soweit deren Vorliegen nicht offensichtlich in die Augen springt (vgl. dazu BGE 137 III 324 E. 1.1 S. 329; 136 V 92 E. 4 S. 95; 134 III 426 E. 1.2 S. 429).</w:t>
      </w:r>
    </w:p>
    <w:p>
      <w:r>
        <w:rPr>
          <w:b/>
        </w:rPr>
        <w:t>E. 1.2.4</w:t>
      </w:r>
    </w:p>
    <w:p>
      <w:r>
        <w:t>Ein nicht wieder gutzumachender Nachteil im Sinne von Art. 93 Abs. 1 lit. a BGG ist ein Nachteil rechtlicher Natur, der auch durch einen für den Beschwerdeführer günstigen Entscheid in der Zukunft nicht mehr behoben werden kann ( BGE 138 III 46 E. 1.2 S. 47, 333 E. 1.3.1; 137 III 380 E. 1.2.1 S. 382; je mit Hinweisen). Die blosse Möglichkeit eines solchen rechtlichen Nachteils genügt; dagegen reichen rein tatsächliche Nachteile wie die Verlängerung oder Verteuerung des Verfahrens nicht aus ( BGE 137 III 380 E. 1.2.1 mit Hinweisen).</w:t>
      </w:r>
    </w:p>
    <w:p>
      <w:r>
        <w:rPr>
          <w:b/>
        </w:rPr>
        <w:t>E. 1.2.5</w:t>
      </w:r>
    </w:p>
    <w:p>
      <w:r>
        <w:t>Die Beschwerdeführer bringen vor, es verstehe sich von selbst, dass der von den Beschwerdeführern mit der D.________ AG geschlossene Vertrag und die Unterlagen bezüglich der Berechnung des vereinbarten Kaufpreises "streng vertrauliche Informationen" und somit Geschäftsgeheimnisse der Beschwerdeführerin 2 darstellten. Da die Beschwerdeführer durch die vorinstanzliche Bestätigung von Dispositivziffer 2 Abs. 2 des Entscheids des Kantonsgerichts Zug vom 8. April 2011 verpflichtet würden, das mit der D.________ AG geschlossene Vertragswerk offenzulegen, entstehe ihnen ein nicht wieder gutzumachender Nachteil.</w:t>
      </w:r>
    </w:p>
    <w:p>
      <w:r>
        <w:t>Zwar kann die Verpflichtung zur Offenlegung von Geschäftsgeheimnissen einen nicht wieder gutzumachenden Nachteil bewirken (Urteil 4A_712/2011 vom 13. Februar 2012 E. 2.2.2 m.H.); um einen solchen darzutun, reicht es indessen nicht aus, wenn die beschwerdeführende Partei - wie hier - lediglich die nicht weiter substanziierte Behauptung aufstellt, die offenzulegende Urkunde enthalte ein Geschäftsgeheimnis (a.a.O., E. 2.2.2 unter Hinweis auf Urteil 4A_70/2009 vom 1. Mai 2009 E. 1.1). Weshalb es sich von selbst verstehen soll, dass das erwähnte Vertragswerk streng vertrauliche Informationen, also objektiv schützenswerte Geheimnisse enthält, und inwiefern überhaupt ein aktuelles Geheimhaltungsinteresse bestehen soll, erläutern die Beschwerdeführer mit keinem Wort und ist auch nicht ersichtlich. Die Eintretensvoraussetzungen von Art. 93 Abs. 1 lit. a BGG sind damit nicht einmal ansatzweise dargetan.</w:t>
      </w:r>
    </w:p>
    <w:p>
      <w:r>
        <w:rPr>
          <w:b/>
        </w:rPr>
        <w:t>E. 1.2.6</w:t>
      </w:r>
    </w:p>
    <w:p>
      <w:r>
        <w:t>Die Beschwerdeführer machen überdies geltend, dass der Tatbestand des Art. 93 Abs. 1 lit. b BGG erfüllt sei. Denn würde das Bundesgericht die Mandatsvereinbarung anstatt als Mäklervertrag als Auftrag qualifizieren, könnte durch Fällung eines klageabweisenden (Teil) Endentscheids ein weitläufiges Beweisverfahren erspart werden. Für die behauptete Weitläufigkeit fehlt aber jegliche Substanziierung, weshalb auch die Eintretensvoraussetzungen von Art. 93 Abs. 1 lit. b BGG nicht dargetan sind.</w:t>
      </w:r>
    </w:p>
    <w:p>
      <w:r>
        <w:rPr>
          <w:b/>
        </w:rPr>
        <w:t>E. 1.2.7</w:t>
      </w:r>
    </w:p>
    <w:p>
      <w:r>
        <w:t>Auf die Beschwerde gegen die vorinstanzliche Bestätigung von Dispositivziffer 2 Abs. 2 des Entscheids des Kantonsgerichts Zug vom 8. April 2011 kann mithin nicht eingetreten werden.</w:t>
      </w:r>
    </w:p>
    <w:p>
      <w:r>
        <w:rPr>
          <w:b/>
        </w:rPr>
        <w:t>E. 2.1</w:t>
      </w:r>
    </w:p>
    <w:p>
      <w:r>
        <w:t>Thema des zulässigen Teils der vorliegenden Beschwerde ist nach dem Gesagten ausschliesslich die vorinstanzlich bestätigte Dispositivziffer 1 des erstinstanzlichen Entscheids, mit der das klägerische Rechtsbegehren betreffend das erfolgs</w:t>
      </w:r>
    </w:p>
    <w:p>
      <w:r>
        <w:t>unabhängige Bearbeitungshonorar beurteilt wurde. Soweit sich die Beschwerdeführer auf das erfolgs</w:t>
      </w:r>
    </w:p>
    <w:p>
      <w:r>
        <w:t>abhängige Honorar beziehen, sind sie mit ihren Rügen nicht zu hören.</w:t>
      </w:r>
    </w:p>
    <w:p>
      <w:r>
        <w:t>Die Frage der Vertragsqualifikation braucht sodann vorliegend nicht behandelt zu werden, da ein erfolgsunabhängiges Honorar sowohl als Honorar eines einfachen Auftrags wie auch als Teil eines gemischten Vertrags mit Elementen des Auftrags und Mäklervertrags geschuldet ist.</w:t>
      </w:r>
    </w:p>
    <w:p>
      <w:r>
        <w:rPr>
          <w:b/>
        </w:rPr>
        <w:t>E. 2.2</w:t>
      </w:r>
    </w:p>
    <w:p>
      <w:r>
        <w:t>Die Vorbringen der Beschwerdeführer gegen die hier allein zu beurteilende Zusprechung der erfolgsunabhängigen Honorarforderung sind nicht nachvollziehbar. So führen sie unter dem Titel "Vollumfängliche Abweisung der Klage" zwar zutreffend aus, dass ein entgangener Gewinn bei einer Qualifikation des Vertrags als einfacher Auftrag nicht eingeklagt werden könne; die angeblich nicht geschuldete "Abschlagszahlung" ist aber gerade auch bei einer Qualifikation als einfacher Auftrag vom Erfolg unabhängig als Honorar für die Beratungsleistung geschuldet.</w:t>
      </w:r>
    </w:p>
    <w:p>
      <w:r>
        <w:t>Soweit die Beschwerdeführer sodann geltend machen, dass die Beschwerdegegnerin ihren Honoraranspruch aufgrund einer Sorgfaltspflichtverletzung verwirkt habe, gehen ihre Vorbringen an der Sache vorbei. Zwar ist nach der Praxis des Bundesgerichts eine Herabsetzung des Honoraranspruchs im einfachen Auftrag insoweit möglich, als die Dienstleistung mangelhaft erbracht wurde und für den Auftraggeber keinen Vorteil brachte ( BGE 124 III 423 E. 4a S. 427). Hierfür tragen die Beschwerdeführer aber keinerlei Begründung vor, sondern behaupten vielmehr, sie seien wegen einer Verletzung der Treuepflicht geschädigt worden. Soweit sie damit einen Schadenersatzanspruch zur Verrechnung stellen wollten, genügt die angebliche Pflichtverletzung nicht und fehlt auch jede Substanziierung des Schadens. Im Übrigen beanstanden die Beschwerdeführer in unzulässiger Weise die für das Bundesgericht verbindlichen Sachverhaltsfeststellungen der Vorinstanz ( Art. 105 Abs. 1 BGG ), soweit sie sich damit überhaupt auseinandersetzen.</w:t>
      </w:r>
    </w:p>
    <w:p>
      <w:r>
        <w:rPr>
          <w:b/>
        </w:rPr>
        <w:t>E. 3</w:t>
      </w:r>
    </w:p>
    <w:p>
      <w:r>
        <w:t>Die Beschwerde erweist sich als unbegründet, sofern überhaupt darauf eingetreten werden kann.</w:t>
      </w:r>
    </w:p>
    <w:p>
      <w:r>
        <w:t>Diesem Ausgang des Verfahrens entsprechend werden die Beschwerdeführer in solidarischer Haftung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